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8BE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eastAsia="方正小标宋简体"/>
          <w:b w:val="0"/>
          <w:bCs/>
          <w:snapToGrid w:val="0"/>
          <w:spacing w:val="-6"/>
          <w:kern w:val="0"/>
          <w:sz w:val="44"/>
        </w:rPr>
      </w:pPr>
      <w:bookmarkStart w:id="0" w:name="_Toc31918"/>
      <w:bookmarkStart w:id="1" w:name="_Toc17730"/>
      <w:bookmarkStart w:id="2" w:name="_Toc8621"/>
    </w:p>
    <w:p w14:paraId="56417E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eastAsia="方正小标宋简体"/>
          <w:b w:val="0"/>
          <w:bCs/>
          <w:snapToGrid w:val="0"/>
          <w:spacing w:val="-6"/>
          <w:kern w:val="0"/>
          <w:sz w:val="44"/>
        </w:rPr>
      </w:pPr>
    </w:p>
    <w:p w14:paraId="37CCCEA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bookmarkStart w:id="186" w:name="_GoBack"/>
      <w:bookmarkEnd w:id="186"/>
    </w:p>
    <w:p w14:paraId="746AF0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eastAsia="方正小标宋简体"/>
          <w:b w:val="0"/>
          <w:bCs/>
          <w:snapToGrid w:val="0"/>
          <w:spacing w:val="-6"/>
          <w:kern w:val="0"/>
          <w:sz w:val="44"/>
        </w:rPr>
      </w:pPr>
    </w:p>
    <w:p w14:paraId="3476AB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napToGrid w:val="0"/>
          <w:spacing w:val="-6"/>
          <w:kern w:val="0"/>
          <w:sz w:val="44"/>
        </w:rPr>
      </w:pPr>
      <w:r>
        <w:rPr>
          <w:rFonts w:hint="eastAsia" w:ascii="方正小标宋简体" w:hAnsi="方正小标宋简体" w:eastAsia="方正小标宋简体" w:cs="方正小标宋简体"/>
          <w:b w:val="0"/>
          <w:bCs/>
          <w:snapToGrid w:val="0"/>
          <w:spacing w:val="-6"/>
          <w:kern w:val="0"/>
          <w:sz w:val="44"/>
        </w:rPr>
        <w:t>惠州大亚湾</w:t>
      </w:r>
      <w:r>
        <w:rPr>
          <w:rFonts w:hint="eastAsia" w:ascii="方正小标宋简体" w:hAnsi="方正小标宋简体" w:eastAsia="方正小标宋简体" w:cs="方正小标宋简体"/>
          <w:b w:val="0"/>
          <w:bCs/>
          <w:snapToGrid w:val="0"/>
          <w:spacing w:val="-6"/>
          <w:kern w:val="0"/>
          <w:sz w:val="44"/>
          <w:lang w:eastAsia="zh-CN"/>
        </w:rPr>
        <w:t>经济技术开发</w:t>
      </w:r>
      <w:r>
        <w:rPr>
          <w:rFonts w:hint="eastAsia" w:ascii="方正小标宋简体" w:hAnsi="方正小标宋简体" w:eastAsia="方正小标宋简体" w:cs="方正小标宋简体"/>
          <w:b w:val="0"/>
          <w:bCs/>
          <w:snapToGrid w:val="0"/>
          <w:spacing w:val="-6"/>
          <w:kern w:val="0"/>
          <w:sz w:val="44"/>
        </w:rPr>
        <w:t>区辐射事故应急预案</w:t>
      </w:r>
      <w:bookmarkEnd w:id="0"/>
      <w:bookmarkEnd w:id="1"/>
      <w:bookmarkEnd w:id="2"/>
    </w:p>
    <w:p w14:paraId="6E33559C">
      <w:pPr>
        <w:pStyle w:val="2"/>
        <w:jc w:val="center"/>
        <w:rPr>
          <w:rFonts w:hint="default" w:eastAsia="方正小标宋简体"/>
          <w:lang w:val="en-US" w:eastAsia="zh-CN"/>
        </w:rPr>
      </w:pPr>
      <w:r>
        <w:rPr>
          <w:rFonts w:hint="eastAsia" w:ascii="方正小标宋简体" w:hAnsi="方正小标宋简体" w:eastAsia="方正小标宋简体" w:cs="方正小标宋简体"/>
          <w:b w:val="0"/>
          <w:bCs/>
          <w:snapToGrid w:val="0"/>
          <w:spacing w:val="-6"/>
          <w:kern w:val="0"/>
          <w:sz w:val="44"/>
          <w:lang w:val="en-US" w:eastAsia="zh-CN"/>
        </w:rPr>
        <w:t>(2025年修订版)</w:t>
      </w:r>
    </w:p>
    <w:p w14:paraId="2BD35C4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napToGrid w:val="0"/>
          <w:spacing w:val="-6"/>
          <w:kern w:val="0"/>
          <w:sz w:val="44"/>
          <w:lang w:eastAsia="zh-CN"/>
        </w:rPr>
      </w:pPr>
    </w:p>
    <w:p w14:paraId="6797EB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eastAsia="方正小标宋简体"/>
          <w:b w:val="0"/>
          <w:bCs/>
          <w:snapToGrid w:val="0"/>
          <w:spacing w:val="-6"/>
          <w:kern w:val="0"/>
          <w:sz w:val="44"/>
        </w:rPr>
      </w:pPr>
    </w:p>
    <w:p w14:paraId="0981B27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5986A90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0021A9E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1481032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4B850D2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3589367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5035608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7A91359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110F497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1CA85AE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3324041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22BB37E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eastAsia="方正小标宋简体"/>
          <w:b w:val="0"/>
          <w:bCs/>
          <w:snapToGrid w:val="0"/>
          <w:spacing w:val="-6"/>
          <w:kern w:val="0"/>
          <w:sz w:val="44"/>
        </w:rPr>
      </w:pPr>
    </w:p>
    <w:p w14:paraId="1348A2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snapToGrid w:val="0"/>
          <w:spacing w:val="-6"/>
          <w:kern w:val="0"/>
          <w:sz w:val="32"/>
          <w:szCs w:val="32"/>
          <w:lang w:val="en-US" w:eastAsia="zh-CN"/>
        </w:rPr>
      </w:pPr>
      <w:r>
        <w:rPr>
          <w:rFonts w:hint="eastAsia" w:ascii="仿宋_GB2312" w:hAnsi="仿宋_GB2312" w:eastAsia="仿宋_GB2312" w:cs="仿宋_GB2312"/>
          <w:b w:val="0"/>
          <w:bCs/>
          <w:snapToGrid w:val="0"/>
          <w:spacing w:val="-6"/>
          <w:kern w:val="0"/>
          <w:sz w:val="32"/>
          <w:szCs w:val="32"/>
          <w:lang w:eastAsia="zh-CN"/>
        </w:rPr>
        <w:t>惠州大亚湾开发区党工委管委会综合办公室</w:t>
      </w:r>
    </w:p>
    <w:p w14:paraId="17A90D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color w:val="auto"/>
          <w:sz w:val="32"/>
          <w:szCs w:val="32"/>
        </w:rPr>
      </w:pPr>
      <w:bookmarkStart w:id="3" w:name="_Toc435457099"/>
      <w:bookmarkStart w:id="4" w:name="_Toc435524093"/>
      <w:r>
        <w:rPr>
          <w:rFonts w:hint="eastAsia" w:ascii="仿宋" w:hAnsi="仿宋" w:eastAsia="仿宋" w:cs="仿宋"/>
          <w:b w:val="0"/>
          <w:color w:val="auto"/>
          <w:sz w:val="32"/>
          <w:szCs w:val="32"/>
        </w:rPr>
        <w:t>二Ｏ</w:t>
      </w:r>
      <w:r>
        <w:rPr>
          <w:rFonts w:hint="eastAsia" w:ascii="仿宋" w:hAnsi="仿宋" w:eastAsia="仿宋" w:cs="仿宋"/>
          <w:b w:val="0"/>
          <w:color w:val="auto"/>
          <w:sz w:val="32"/>
          <w:szCs w:val="32"/>
          <w:lang w:eastAsia="zh-CN"/>
        </w:rPr>
        <w:t>二五</w:t>
      </w:r>
      <w:r>
        <w:rPr>
          <w:rFonts w:hint="eastAsia" w:ascii="仿宋" w:hAnsi="仿宋" w:eastAsia="仿宋" w:cs="仿宋"/>
          <w:b w:val="0"/>
          <w:color w:val="auto"/>
          <w:sz w:val="32"/>
          <w:szCs w:val="32"/>
        </w:rPr>
        <w:t>年</w:t>
      </w:r>
      <w:r>
        <w:rPr>
          <w:rFonts w:hint="eastAsia" w:ascii="仿宋" w:hAnsi="仿宋" w:eastAsia="仿宋" w:cs="仿宋"/>
          <w:b w:val="0"/>
          <w:color w:val="auto"/>
          <w:sz w:val="32"/>
          <w:szCs w:val="32"/>
          <w:lang w:eastAsia="zh-CN"/>
        </w:rPr>
        <w:t>九</w:t>
      </w:r>
      <w:r>
        <w:rPr>
          <w:rFonts w:hint="eastAsia" w:ascii="仿宋" w:hAnsi="仿宋" w:eastAsia="仿宋" w:cs="仿宋"/>
          <w:b w:val="0"/>
          <w:color w:val="auto"/>
          <w:sz w:val="32"/>
          <w:szCs w:val="32"/>
        </w:rPr>
        <w:t>月</w:t>
      </w:r>
      <w:bookmarkEnd w:id="3"/>
      <w:bookmarkEnd w:id="4"/>
    </w:p>
    <w:p w14:paraId="28A83BC1">
      <w:pPr>
        <w:spacing w:before="0" w:beforeLines="0" w:after="0" w:afterLines="0" w:line="240" w:lineRule="auto"/>
        <w:ind w:left="0" w:leftChars="0" w:right="0" w:rightChars="0" w:firstLine="0" w:firstLineChars="0"/>
        <w:jc w:val="center"/>
        <w:rPr>
          <w:rFonts w:ascii="宋体" w:hAnsi="宋体" w:eastAsia="宋体" w:cs="Times New Roman"/>
          <w:kern w:val="2"/>
          <w:sz w:val="21"/>
          <w:lang w:val="en-US" w:eastAsia="zh-CN"/>
        </w:rPr>
        <w:sectPr>
          <w:pgSz w:w="11906" w:h="16838"/>
          <w:pgMar w:top="2098" w:right="1474" w:bottom="1984" w:left="1587" w:header="851" w:footer="992" w:gutter="0"/>
          <w:pgNumType w:fmt="numberInDash" w:start="1"/>
          <w:cols w:space="425" w:num="1"/>
          <w:docGrid w:type="lines" w:linePitch="312" w:charSpace="0"/>
        </w:sectPr>
      </w:pPr>
    </w:p>
    <w:sdt>
      <w:sdtPr>
        <w:rPr>
          <w:rFonts w:ascii="宋体" w:hAnsi="宋体" w:eastAsia="宋体" w:cs="Times New Roman"/>
          <w:kern w:val="2"/>
          <w:sz w:val="21"/>
          <w:lang w:val="en-US" w:eastAsia="zh-CN"/>
        </w:rPr>
        <w:id w:val="147453312"/>
        <w15:color w:val="DBDBDB"/>
        <w:docPartObj>
          <w:docPartGallery w:val="Table of Contents"/>
          <w:docPartUnique/>
        </w:docPartObj>
      </w:sdtPr>
      <w:sdtEndPr>
        <w:rPr>
          <w:rFonts w:hint="eastAsia" w:ascii="仿宋" w:hAnsi="仿宋" w:eastAsia="仿宋" w:cs="仿宋"/>
          <w:color w:val="auto"/>
          <w:kern w:val="2"/>
          <w:sz w:val="21"/>
          <w:szCs w:val="32"/>
          <w:lang w:val="en-US" w:eastAsia="zh-CN"/>
        </w:rPr>
      </w:sdtEndPr>
      <w:sdtContent>
        <w:p w14:paraId="164A0241">
          <w:pPr>
            <w:spacing w:before="0" w:beforeLines="0" w:after="0" w:afterLines="0" w:line="240" w:lineRule="auto"/>
            <w:ind w:left="0" w:leftChars="0" w:right="0" w:rightChars="0" w:firstLine="0" w:firstLineChars="0"/>
            <w:jc w:val="center"/>
            <w:rPr>
              <w:rFonts w:eastAsia="宋体"/>
              <w:sz w:val="32"/>
            </w:rPr>
          </w:pPr>
          <w:r>
            <w:rPr>
              <w:rFonts w:ascii="宋体" w:hAnsi="宋体" w:eastAsia="宋体"/>
              <w:b/>
              <w:bCs/>
              <w:sz w:val="32"/>
            </w:rPr>
            <w:t>目</w:t>
          </w:r>
          <w:r>
            <w:rPr>
              <w:rFonts w:hint="eastAsia" w:ascii="宋体" w:hAnsi="宋体" w:eastAsia="宋体"/>
              <w:b/>
              <w:bCs/>
              <w:sz w:val="32"/>
              <w:lang w:val="en-US" w:eastAsia="zh-CN"/>
            </w:rPr>
            <w:t xml:space="preserve">  </w:t>
          </w:r>
          <w:r>
            <w:rPr>
              <w:rFonts w:ascii="宋体" w:hAnsi="宋体" w:eastAsia="宋体"/>
              <w:b/>
              <w:bCs/>
              <w:sz w:val="32"/>
            </w:rPr>
            <w:t>录</w:t>
          </w:r>
        </w:p>
        <w:p w14:paraId="1412AEFE">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仿宋" w:cs="仿宋"/>
              <w:color w:val="auto"/>
              <w:kern w:val="2"/>
              <w:sz w:val="21"/>
              <w:szCs w:val="32"/>
              <w:lang w:val="en-US" w:eastAsia="zh-CN"/>
            </w:rPr>
            <w:fldChar w:fldCharType="begin"/>
          </w:r>
          <w:r>
            <w:rPr>
              <w:rFonts w:hint="eastAsia" w:ascii="仿宋" w:hAnsi="仿宋" w:eastAsia="仿宋" w:cs="仿宋"/>
              <w:color w:val="auto"/>
              <w:kern w:val="2"/>
              <w:sz w:val="21"/>
              <w:szCs w:val="32"/>
              <w:lang w:val="en-US" w:eastAsia="zh-CN"/>
            </w:rPr>
            <w:instrText xml:space="preserve">TOC \o "1-3" \h \u </w:instrText>
          </w:r>
          <w:r>
            <w:rPr>
              <w:rFonts w:hint="eastAsia" w:ascii="仿宋" w:hAnsi="仿宋" w:eastAsia="仿宋" w:cs="仿宋"/>
              <w:color w:val="auto"/>
              <w:kern w:val="2"/>
              <w:sz w:val="21"/>
              <w:szCs w:val="32"/>
              <w:lang w:val="en-US" w:eastAsia="zh-CN"/>
            </w:rPr>
            <w:fldChar w:fldCharType="separate"/>
          </w: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_Toc29876 </w:instrText>
          </w:r>
          <w:r>
            <w:rPr>
              <w:rFonts w:hint="eastAsia" w:ascii="仿宋" w:hAnsi="仿宋" w:eastAsia="宋体" w:cs="仿宋"/>
              <w:kern w:val="2"/>
              <w:sz w:val="28"/>
              <w:szCs w:val="32"/>
              <w:lang w:val="en-US" w:eastAsia="zh-CN"/>
            </w:rPr>
            <w:fldChar w:fldCharType="separate"/>
          </w:r>
          <w:r>
            <w:rPr>
              <w:rFonts w:hint="eastAsia" w:ascii="黑体" w:hAnsi="黑体" w:cs="黑体"/>
              <w:b/>
              <w:bCs/>
              <w:sz w:val="28"/>
              <w:szCs w:val="32"/>
              <w:lang w:eastAsia="zh-CN"/>
            </w:rPr>
            <w:t>一、</w:t>
          </w:r>
          <w:r>
            <w:rPr>
              <w:rFonts w:hint="eastAsia" w:ascii="黑体" w:hAnsi="黑体" w:eastAsia="宋体" w:cs="黑体"/>
              <w:b/>
              <w:bCs/>
              <w:sz w:val="28"/>
              <w:szCs w:val="32"/>
              <w:lang w:eastAsia="zh-CN"/>
            </w:rPr>
            <w:t>总则</w:t>
          </w:r>
          <w:r>
            <w:rPr>
              <w:rFonts w:eastAsia="宋体"/>
              <w:sz w:val="28"/>
            </w:rPr>
            <w:tab/>
          </w:r>
          <w:r>
            <w:rPr>
              <w:rFonts w:eastAsia="宋体"/>
              <w:sz w:val="28"/>
            </w:rPr>
            <w:fldChar w:fldCharType="begin"/>
          </w:r>
          <w:r>
            <w:rPr>
              <w:rFonts w:eastAsia="宋体"/>
              <w:sz w:val="28"/>
            </w:rPr>
            <w:instrText xml:space="preserve"> PAGEREF _Toc29876 \h </w:instrText>
          </w:r>
          <w:r>
            <w:rPr>
              <w:rFonts w:eastAsia="宋体"/>
              <w:sz w:val="28"/>
            </w:rPr>
            <w:fldChar w:fldCharType="separate"/>
          </w:r>
          <w:r>
            <w:rPr>
              <w:rFonts w:eastAsia="宋体"/>
              <w:sz w:val="28"/>
            </w:rPr>
            <w:t>- 1 -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7F1FC5E">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_Toc3953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（一）编制目的</w:t>
          </w:r>
          <w:r>
            <w:rPr>
              <w:rFonts w:eastAsia="宋体"/>
              <w:sz w:val="28"/>
            </w:rPr>
            <w:tab/>
          </w:r>
          <w:r>
            <w:rPr>
              <w:rFonts w:eastAsia="宋体"/>
              <w:sz w:val="28"/>
            </w:rPr>
            <w:fldChar w:fldCharType="begin"/>
          </w:r>
          <w:r>
            <w:rPr>
              <w:rFonts w:eastAsia="宋体"/>
              <w:sz w:val="28"/>
            </w:rPr>
            <w:instrText xml:space="preserve"> PAGEREF _Toc3953 \h </w:instrText>
          </w:r>
          <w:r>
            <w:rPr>
              <w:rFonts w:eastAsia="宋体"/>
              <w:sz w:val="28"/>
            </w:rPr>
            <w:fldChar w:fldCharType="separate"/>
          </w:r>
          <w:r>
            <w:rPr>
              <w:rFonts w:eastAsia="宋体"/>
              <w:sz w:val="28"/>
            </w:rPr>
            <w:t>- 1 -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3A2AFB61">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_Toc25120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（二）编制依据</w:t>
          </w:r>
          <w:r>
            <w:rPr>
              <w:rFonts w:eastAsia="宋体"/>
              <w:sz w:val="28"/>
            </w:rPr>
            <w:tab/>
          </w:r>
          <w:r>
            <w:rPr>
              <w:rFonts w:eastAsia="宋体"/>
              <w:sz w:val="28"/>
            </w:rPr>
            <w:fldChar w:fldCharType="begin"/>
          </w:r>
          <w:r>
            <w:rPr>
              <w:rFonts w:eastAsia="宋体"/>
              <w:sz w:val="28"/>
            </w:rPr>
            <w:instrText xml:space="preserve"> PAGEREF _Toc25120 \h </w:instrText>
          </w:r>
          <w:r>
            <w:rPr>
              <w:rFonts w:eastAsia="宋体"/>
              <w:sz w:val="28"/>
            </w:rPr>
            <w:fldChar w:fldCharType="separate"/>
          </w:r>
          <w:r>
            <w:rPr>
              <w:rFonts w:eastAsia="宋体"/>
              <w:sz w:val="28"/>
            </w:rPr>
            <w:t>- 1 -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2836706">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_Toc17229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（三）适用范围</w:t>
          </w:r>
          <w:r>
            <w:rPr>
              <w:rFonts w:eastAsia="宋体"/>
              <w:sz w:val="28"/>
            </w:rPr>
            <w:tab/>
          </w:r>
          <w:r>
            <w:rPr>
              <w:rFonts w:eastAsia="宋体"/>
              <w:sz w:val="28"/>
            </w:rPr>
            <w:fldChar w:fldCharType="begin"/>
          </w:r>
          <w:r>
            <w:rPr>
              <w:rFonts w:eastAsia="宋体"/>
              <w:sz w:val="28"/>
            </w:rPr>
            <w:instrText xml:space="preserve"> PAGEREF _Toc17229 \h </w:instrText>
          </w:r>
          <w:r>
            <w:rPr>
              <w:rFonts w:eastAsia="宋体"/>
              <w:sz w:val="28"/>
            </w:rPr>
            <w:fldChar w:fldCharType="separate"/>
          </w:r>
          <w:r>
            <w:rPr>
              <w:rFonts w:eastAsia="宋体"/>
              <w:sz w:val="28"/>
            </w:rPr>
            <w:t>- 1 -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34141111">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_Toc3659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（四）工作原则</w:t>
          </w:r>
          <w:r>
            <w:rPr>
              <w:rFonts w:eastAsia="宋体"/>
              <w:sz w:val="28"/>
            </w:rPr>
            <w:tab/>
          </w:r>
          <w:r>
            <w:rPr>
              <w:rFonts w:eastAsia="宋体"/>
              <w:sz w:val="28"/>
            </w:rPr>
            <w:fldChar w:fldCharType="begin"/>
          </w:r>
          <w:r>
            <w:rPr>
              <w:rFonts w:eastAsia="宋体"/>
              <w:sz w:val="28"/>
            </w:rPr>
            <w:instrText xml:space="preserve"> PAGEREF _Toc3659 \h </w:instrText>
          </w:r>
          <w:r>
            <w:rPr>
              <w:rFonts w:eastAsia="宋体"/>
              <w:sz w:val="28"/>
            </w:rPr>
            <w:fldChar w:fldCharType="separate"/>
          </w:r>
          <w:r>
            <w:rPr>
              <w:rFonts w:eastAsia="宋体"/>
              <w:sz w:val="28"/>
            </w:rPr>
            <w:t>- 2 -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2B52525">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_Toc13105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二、</w:t>
          </w:r>
          <w:r>
            <w:rPr>
              <w:rFonts w:hint="eastAsia" w:ascii="黑体" w:hAnsi="黑体" w:eastAsia="宋体" w:cs="黑体"/>
              <w:b/>
              <w:bCs/>
              <w:sz w:val="28"/>
              <w:szCs w:val="32"/>
            </w:rPr>
            <w:t>应急机构和职责分工</w:t>
          </w:r>
          <w:r>
            <w:rPr>
              <w:rFonts w:eastAsia="宋体"/>
              <w:sz w:val="28"/>
            </w:rPr>
            <w:tab/>
          </w:r>
          <w:r>
            <w:rPr>
              <w:rFonts w:eastAsia="宋体"/>
              <w:sz w:val="28"/>
            </w:rPr>
            <w:fldChar w:fldCharType="begin"/>
          </w:r>
          <w:r>
            <w:rPr>
              <w:rFonts w:eastAsia="宋体"/>
              <w:sz w:val="28"/>
            </w:rPr>
            <w:instrText xml:space="preserve"> PAGEREF _Toc13105 \h </w:instrText>
          </w:r>
          <w:r>
            <w:rPr>
              <w:rFonts w:eastAsia="宋体"/>
              <w:sz w:val="28"/>
            </w:rPr>
            <w:fldChar w:fldCharType="separate"/>
          </w:r>
          <w:r>
            <w:rPr>
              <w:rFonts w:eastAsia="宋体"/>
              <w:sz w:val="28"/>
            </w:rPr>
            <w:t>- 3 -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3A845517">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_Toc32401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szCs w:val="32"/>
              <w:lang w:val="en-US" w:eastAsia="zh-CN"/>
            </w:rPr>
            <w:t>（一）</w:t>
          </w:r>
          <w:r>
            <w:rPr>
              <w:rFonts w:hint="eastAsia" w:ascii="楷体" w:hAnsi="楷体" w:eastAsia="宋体" w:cs="楷体"/>
              <w:bCs w:val="0"/>
              <w:sz w:val="28"/>
              <w:szCs w:val="32"/>
            </w:rPr>
            <w:t>区辐射事故应急领导小组职责</w:t>
          </w:r>
          <w:r>
            <w:rPr>
              <w:rFonts w:eastAsia="宋体"/>
              <w:sz w:val="28"/>
            </w:rPr>
            <w:tab/>
          </w:r>
          <w:r>
            <w:rPr>
              <w:rFonts w:eastAsia="宋体"/>
              <w:sz w:val="28"/>
            </w:rPr>
            <w:fldChar w:fldCharType="begin"/>
          </w:r>
          <w:r>
            <w:rPr>
              <w:rFonts w:eastAsia="宋体"/>
              <w:sz w:val="28"/>
            </w:rPr>
            <w:instrText xml:space="preserve"> PAGEREF _Toc32401 \h </w:instrText>
          </w:r>
          <w:r>
            <w:rPr>
              <w:rFonts w:eastAsia="宋体"/>
              <w:sz w:val="28"/>
            </w:rPr>
            <w:fldChar w:fldCharType="separate"/>
          </w:r>
          <w:r>
            <w:rPr>
              <w:rFonts w:eastAsia="宋体"/>
              <w:sz w:val="28"/>
            </w:rPr>
            <w:t>- 3 -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240CCB4">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_Toc19241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szCs w:val="32"/>
              <w:lang w:val="en-US" w:eastAsia="zh-CN"/>
            </w:rPr>
            <w:t>（二）</w:t>
          </w:r>
          <w:r>
            <w:rPr>
              <w:rFonts w:hint="eastAsia" w:ascii="楷体" w:hAnsi="楷体" w:eastAsia="宋体" w:cs="楷体"/>
              <w:bCs w:val="0"/>
              <w:sz w:val="28"/>
              <w:szCs w:val="32"/>
            </w:rPr>
            <w:t>区辐射事故领导小组办公室职责</w:t>
          </w:r>
          <w:r>
            <w:rPr>
              <w:rFonts w:eastAsia="宋体"/>
              <w:sz w:val="28"/>
            </w:rPr>
            <w:tab/>
          </w:r>
          <w:r>
            <w:rPr>
              <w:rFonts w:eastAsia="宋体"/>
              <w:sz w:val="28"/>
            </w:rPr>
            <w:fldChar w:fldCharType="begin"/>
          </w:r>
          <w:r>
            <w:rPr>
              <w:rFonts w:eastAsia="宋体"/>
              <w:sz w:val="28"/>
            </w:rPr>
            <w:instrText xml:space="preserve"> PAGEREF _Toc19241 \h </w:instrText>
          </w:r>
          <w:r>
            <w:rPr>
              <w:rFonts w:eastAsia="宋体"/>
              <w:sz w:val="28"/>
            </w:rPr>
            <w:fldChar w:fldCharType="separate"/>
          </w:r>
          <w:r>
            <w:rPr>
              <w:rFonts w:eastAsia="宋体"/>
              <w:sz w:val="28"/>
            </w:rPr>
            <w:t>- 4 -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323F62C5">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_Toc617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w:t>
          </w:r>
          <w:r>
            <w:rPr>
              <w:rFonts w:hint="eastAsia" w:ascii="楷体" w:hAnsi="楷体" w:eastAsia="宋体" w:cs="楷体"/>
              <w:bCs w:val="0"/>
              <w:sz w:val="28"/>
              <w:lang w:val="en-US" w:eastAsia="zh-CN"/>
            </w:rPr>
            <w:t>三</w:t>
          </w:r>
          <w:r>
            <w:rPr>
              <w:rFonts w:hint="eastAsia" w:ascii="楷体" w:hAnsi="楷体" w:eastAsia="宋体" w:cs="楷体"/>
              <w:bCs w:val="0"/>
              <w:sz w:val="28"/>
              <w:lang w:eastAsia="zh-CN"/>
            </w:rPr>
            <w:t>）</w:t>
          </w:r>
          <w:r>
            <w:rPr>
              <w:rFonts w:hint="eastAsia" w:ascii="楷体" w:hAnsi="楷体" w:eastAsia="宋体" w:cs="楷体"/>
              <w:bCs w:val="0"/>
              <w:sz w:val="28"/>
            </w:rPr>
            <w:t>区辐射事故应急领导小组成员职责</w:t>
          </w:r>
          <w:r>
            <w:rPr>
              <w:rFonts w:eastAsia="宋体"/>
              <w:sz w:val="28"/>
            </w:rPr>
            <w:tab/>
          </w:r>
          <w:r>
            <w:rPr>
              <w:rFonts w:eastAsia="宋体"/>
              <w:sz w:val="28"/>
            </w:rPr>
            <w:fldChar w:fldCharType="begin"/>
          </w:r>
          <w:r>
            <w:rPr>
              <w:rFonts w:eastAsia="宋体"/>
              <w:sz w:val="28"/>
            </w:rPr>
            <w:instrText xml:space="preserve"> PAGEREF _Toc617 \h </w:instrText>
          </w:r>
          <w:r>
            <w:rPr>
              <w:rFonts w:eastAsia="宋体"/>
              <w:sz w:val="28"/>
            </w:rPr>
            <w:fldChar w:fldCharType="separate"/>
          </w:r>
          <w:r>
            <w:rPr>
              <w:rFonts w:eastAsia="宋体"/>
              <w:sz w:val="28"/>
            </w:rPr>
            <w:t>- 4 -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6A0B2FE">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_Toc18816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三、预防</w:t>
          </w:r>
          <w:r>
            <w:rPr>
              <w:rFonts w:eastAsia="宋体"/>
              <w:sz w:val="28"/>
            </w:rPr>
            <w:tab/>
          </w:r>
          <w:r>
            <w:rPr>
              <w:rFonts w:eastAsia="宋体"/>
              <w:sz w:val="28"/>
            </w:rPr>
            <w:fldChar w:fldCharType="begin"/>
          </w:r>
          <w:r>
            <w:rPr>
              <w:rFonts w:eastAsia="宋体"/>
              <w:sz w:val="28"/>
            </w:rPr>
            <w:instrText xml:space="preserve"> PAGEREF _Toc18816 \h </w:instrText>
          </w:r>
          <w:r>
            <w:rPr>
              <w:rFonts w:eastAsia="宋体"/>
              <w:sz w:val="28"/>
            </w:rPr>
            <w:fldChar w:fldCharType="separate"/>
          </w:r>
          <w:r>
            <w:rPr>
              <w:rFonts w:eastAsia="宋体"/>
              <w:sz w:val="28"/>
            </w:rPr>
            <w:t>- 8 -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16E89EEA">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_Toc25785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四、辐射事故应急处置</w:t>
          </w:r>
          <w:r>
            <w:rPr>
              <w:rFonts w:eastAsia="宋体"/>
              <w:sz w:val="28"/>
            </w:rPr>
            <w:tab/>
          </w:r>
          <w:r>
            <w:rPr>
              <w:rFonts w:eastAsia="宋体"/>
              <w:sz w:val="28"/>
            </w:rPr>
            <w:fldChar w:fldCharType="begin"/>
          </w:r>
          <w:r>
            <w:rPr>
              <w:rFonts w:eastAsia="宋体"/>
              <w:sz w:val="28"/>
            </w:rPr>
            <w:instrText xml:space="preserve"> PAGEREF _Toc25785 \h </w:instrText>
          </w:r>
          <w:r>
            <w:rPr>
              <w:rFonts w:eastAsia="宋体"/>
              <w:sz w:val="28"/>
            </w:rPr>
            <w:fldChar w:fldCharType="separate"/>
          </w:r>
          <w:r>
            <w:rPr>
              <w:rFonts w:eastAsia="宋体"/>
              <w:sz w:val="28"/>
            </w:rPr>
            <w:t>- 9 -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F8A9887">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_Toc18004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（一）辐射事故分级</w:t>
          </w:r>
          <w:r>
            <w:rPr>
              <w:rFonts w:eastAsia="宋体"/>
              <w:sz w:val="28"/>
            </w:rPr>
            <w:tab/>
          </w:r>
          <w:r>
            <w:rPr>
              <w:rFonts w:eastAsia="宋体"/>
              <w:sz w:val="28"/>
            </w:rPr>
            <w:fldChar w:fldCharType="begin"/>
          </w:r>
          <w:r>
            <w:rPr>
              <w:rFonts w:eastAsia="宋体"/>
              <w:sz w:val="28"/>
            </w:rPr>
            <w:instrText xml:space="preserve"> PAGEREF _Toc18004 \h </w:instrText>
          </w:r>
          <w:r>
            <w:rPr>
              <w:rFonts w:eastAsia="宋体"/>
              <w:sz w:val="28"/>
            </w:rPr>
            <w:fldChar w:fldCharType="separate"/>
          </w:r>
          <w:r>
            <w:rPr>
              <w:rFonts w:eastAsia="宋体"/>
              <w:sz w:val="28"/>
            </w:rPr>
            <w:t>- 9 -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F2B54C1">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_Toc6485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（二）应急预案启动条件</w:t>
          </w:r>
          <w:r>
            <w:rPr>
              <w:rFonts w:eastAsia="宋体"/>
              <w:sz w:val="28"/>
            </w:rPr>
            <w:tab/>
          </w:r>
          <w:r>
            <w:rPr>
              <w:rFonts w:eastAsia="宋体"/>
              <w:sz w:val="28"/>
            </w:rPr>
            <w:fldChar w:fldCharType="begin"/>
          </w:r>
          <w:r>
            <w:rPr>
              <w:rFonts w:eastAsia="宋体"/>
              <w:sz w:val="28"/>
            </w:rPr>
            <w:instrText xml:space="preserve"> PAGEREF _Toc6485 \h </w:instrText>
          </w:r>
          <w:r>
            <w:rPr>
              <w:rFonts w:eastAsia="宋体"/>
              <w:sz w:val="28"/>
            </w:rPr>
            <w:fldChar w:fldCharType="separate"/>
          </w:r>
          <w:r>
            <w:rPr>
              <w:rFonts w:eastAsia="宋体"/>
              <w:sz w:val="28"/>
            </w:rPr>
            <w:t>- 10 -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C6F890E">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_Toc2547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（三）分级响应</w:t>
          </w:r>
          <w:r>
            <w:rPr>
              <w:rFonts w:eastAsia="宋体"/>
              <w:sz w:val="28"/>
            </w:rPr>
            <w:tab/>
          </w:r>
          <w:r>
            <w:rPr>
              <w:rFonts w:eastAsia="宋体"/>
              <w:sz w:val="28"/>
            </w:rPr>
            <w:fldChar w:fldCharType="begin"/>
          </w:r>
          <w:r>
            <w:rPr>
              <w:rFonts w:eastAsia="宋体"/>
              <w:sz w:val="28"/>
            </w:rPr>
            <w:instrText xml:space="preserve"> PAGEREF _Toc2547 \h </w:instrText>
          </w:r>
          <w:r>
            <w:rPr>
              <w:rFonts w:eastAsia="宋体"/>
              <w:sz w:val="28"/>
            </w:rPr>
            <w:fldChar w:fldCharType="separate"/>
          </w:r>
          <w:r>
            <w:rPr>
              <w:rFonts w:eastAsia="宋体"/>
              <w:sz w:val="28"/>
            </w:rPr>
            <w:t>- 11 -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1AADC97B">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_Toc22067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（四）信息报告</w:t>
          </w:r>
          <w:r>
            <w:rPr>
              <w:rFonts w:eastAsia="宋体"/>
              <w:sz w:val="28"/>
            </w:rPr>
            <w:tab/>
          </w:r>
          <w:r>
            <w:rPr>
              <w:rFonts w:eastAsia="宋体"/>
              <w:sz w:val="28"/>
            </w:rPr>
            <w:fldChar w:fldCharType="begin"/>
          </w:r>
          <w:r>
            <w:rPr>
              <w:rFonts w:eastAsia="宋体"/>
              <w:sz w:val="28"/>
            </w:rPr>
            <w:instrText xml:space="preserve"> PAGEREF _Toc22067 \h </w:instrText>
          </w:r>
          <w:r>
            <w:rPr>
              <w:rFonts w:eastAsia="宋体"/>
              <w:sz w:val="28"/>
            </w:rPr>
            <w:fldChar w:fldCharType="separate"/>
          </w:r>
          <w:r>
            <w:rPr>
              <w:rFonts w:eastAsia="宋体"/>
              <w:sz w:val="28"/>
            </w:rPr>
            <w:t>- 13 -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0B7ABC4">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_Toc21444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（五）应急措施</w:t>
          </w:r>
          <w:r>
            <w:rPr>
              <w:rFonts w:eastAsia="宋体"/>
              <w:sz w:val="28"/>
            </w:rPr>
            <w:tab/>
          </w:r>
          <w:r>
            <w:rPr>
              <w:rFonts w:eastAsia="宋体"/>
              <w:sz w:val="28"/>
            </w:rPr>
            <w:fldChar w:fldCharType="begin"/>
          </w:r>
          <w:r>
            <w:rPr>
              <w:rFonts w:eastAsia="宋体"/>
              <w:sz w:val="28"/>
            </w:rPr>
            <w:instrText xml:space="preserve"> PAGEREF _Toc21444 \h </w:instrText>
          </w:r>
          <w:r>
            <w:rPr>
              <w:rFonts w:eastAsia="宋体"/>
              <w:sz w:val="28"/>
            </w:rPr>
            <w:fldChar w:fldCharType="separate"/>
          </w:r>
          <w:r>
            <w:rPr>
              <w:rFonts w:eastAsia="宋体"/>
              <w:sz w:val="28"/>
            </w:rPr>
            <w:t>- 15 -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94343B5">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_Toc29330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（六）安全防护</w:t>
          </w:r>
          <w:r>
            <w:rPr>
              <w:rFonts w:eastAsia="宋体"/>
              <w:sz w:val="28"/>
            </w:rPr>
            <w:tab/>
          </w:r>
          <w:r>
            <w:rPr>
              <w:rFonts w:eastAsia="宋体"/>
              <w:sz w:val="28"/>
            </w:rPr>
            <w:fldChar w:fldCharType="begin"/>
          </w:r>
          <w:r>
            <w:rPr>
              <w:rFonts w:eastAsia="宋体"/>
              <w:sz w:val="28"/>
            </w:rPr>
            <w:instrText xml:space="preserve"> PAGEREF _Toc29330 \h </w:instrText>
          </w:r>
          <w:r>
            <w:rPr>
              <w:rFonts w:eastAsia="宋体"/>
              <w:sz w:val="28"/>
            </w:rPr>
            <w:fldChar w:fldCharType="separate"/>
          </w:r>
          <w:r>
            <w:rPr>
              <w:rFonts w:eastAsia="宋体"/>
              <w:sz w:val="28"/>
            </w:rPr>
            <w:t>- 17 -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2F10269">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_Toc12662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（七）应急支援</w:t>
          </w:r>
          <w:r>
            <w:rPr>
              <w:rFonts w:eastAsia="宋体"/>
              <w:sz w:val="28"/>
            </w:rPr>
            <w:tab/>
          </w:r>
          <w:r>
            <w:rPr>
              <w:rFonts w:eastAsia="宋体"/>
              <w:sz w:val="28"/>
            </w:rPr>
            <w:fldChar w:fldCharType="begin"/>
          </w:r>
          <w:r>
            <w:rPr>
              <w:rFonts w:eastAsia="宋体"/>
              <w:sz w:val="28"/>
            </w:rPr>
            <w:instrText xml:space="preserve"> PAGEREF _Toc12662 \h </w:instrText>
          </w:r>
          <w:r>
            <w:rPr>
              <w:rFonts w:eastAsia="宋体"/>
              <w:sz w:val="28"/>
            </w:rPr>
            <w:fldChar w:fldCharType="separate"/>
          </w:r>
          <w:r>
            <w:rPr>
              <w:rFonts w:eastAsia="宋体"/>
              <w:sz w:val="28"/>
            </w:rPr>
            <w:t>- 18 -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2A4BFDB3">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_Toc24754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（八）信息发布</w:t>
          </w:r>
          <w:r>
            <w:rPr>
              <w:rFonts w:eastAsia="宋体"/>
              <w:sz w:val="28"/>
            </w:rPr>
            <w:tab/>
          </w:r>
          <w:r>
            <w:rPr>
              <w:rFonts w:eastAsia="宋体"/>
              <w:sz w:val="28"/>
            </w:rPr>
            <w:fldChar w:fldCharType="begin"/>
          </w:r>
          <w:r>
            <w:rPr>
              <w:rFonts w:eastAsia="宋体"/>
              <w:sz w:val="28"/>
            </w:rPr>
            <w:instrText xml:space="preserve"> PAGEREF _Toc24754 \h </w:instrText>
          </w:r>
          <w:r>
            <w:rPr>
              <w:rFonts w:eastAsia="宋体"/>
              <w:sz w:val="28"/>
            </w:rPr>
            <w:fldChar w:fldCharType="separate"/>
          </w:r>
          <w:r>
            <w:rPr>
              <w:rFonts w:eastAsia="宋体"/>
              <w:sz w:val="28"/>
            </w:rPr>
            <w:t>- 18 -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4E9BA4D4">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_Toc17812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（九）应急终止</w:t>
          </w:r>
          <w:r>
            <w:rPr>
              <w:rFonts w:eastAsia="宋体"/>
              <w:sz w:val="28"/>
            </w:rPr>
            <w:tab/>
          </w:r>
          <w:r>
            <w:rPr>
              <w:rFonts w:eastAsia="宋体"/>
              <w:sz w:val="28"/>
            </w:rPr>
            <w:fldChar w:fldCharType="begin"/>
          </w:r>
          <w:r>
            <w:rPr>
              <w:rFonts w:eastAsia="宋体"/>
              <w:sz w:val="28"/>
            </w:rPr>
            <w:instrText xml:space="preserve"> PAGEREF _Toc17812 \h </w:instrText>
          </w:r>
          <w:r>
            <w:rPr>
              <w:rFonts w:eastAsia="宋体"/>
              <w:sz w:val="28"/>
            </w:rPr>
            <w:fldChar w:fldCharType="separate"/>
          </w:r>
          <w:r>
            <w:rPr>
              <w:rFonts w:eastAsia="宋体"/>
              <w:sz w:val="28"/>
            </w:rPr>
            <w:t>- 18 -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1806EBD">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_Toc20049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五、后期处置</w:t>
          </w:r>
          <w:r>
            <w:rPr>
              <w:rFonts w:eastAsia="宋体"/>
              <w:sz w:val="28"/>
            </w:rPr>
            <w:tab/>
          </w:r>
          <w:r>
            <w:rPr>
              <w:rFonts w:eastAsia="宋体"/>
              <w:sz w:val="28"/>
            </w:rPr>
            <w:fldChar w:fldCharType="begin"/>
          </w:r>
          <w:r>
            <w:rPr>
              <w:rFonts w:eastAsia="宋体"/>
              <w:sz w:val="28"/>
            </w:rPr>
            <w:instrText xml:space="preserve"> PAGEREF _Toc20049 \h </w:instrText>
          </w:r>
          <w:r>
            <w:rPr>
              <w:rFonts w:eastAsia="宋体"/>
              <w:sz w:val="28"/>
            </w:rPr>
            <w:fldChar w:fldCharType="separate"/>
          </w:r>
          <w:r>
            <w:rPr>
              <w:rFonts w:eastAsia="宋体"/>
              <w:sz w:val="28"/>
            </w:rPr>
            <w:t>- 20 -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592EA47">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_Toc25706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（一）善后处置</w:t>
          </w:r>
          <w:r>
            <w:rPr>
              <w:rFonts w:eastAsia="宋体"/>
              <w:sz w:val="28"/>
            </w:rPr>
            <w:tab/>
          </w:r>
          <w:r>
            <w:rPr>
              <w:rFonts w:eastAsia="宋体"/>
              <w:sz w:val="28"/>
            </w:rPr>
            <w:fldChar w:fldCharType="begin"/>
          </w:r>
          <w:r>
            <w:rPr>
              <w:rFonts w:eastAsia="宋体"/>
              <w:sz w:val="28"/>
            </w:rPr>
            <w:instrText xml:space="preserve"> PAGEREF _Toc25706 \h </w:instrText>
          </w:r>
          <w:r>
            <w:rPr>
              <w:rFonts w:eastAsia="宋体"/>
              <w:sz w:val="28"/>
            </w:rPr>
            <w:fldChar w:fldCharType="separate"/>
          </w:r>
          <w:r>
            <w:rPr>
              <w:rFonts w:eastAsia="宋体"/>
              <w:sz w:val="28"/>
            </w:rPr>
            <w:t>- 20 -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349163E7">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_Toc15492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（二）调查处理</w:t>
          </w:r>
          <w:r>
            <w:rPr>
              <w:rFonts w:eastAsia="宋体"/>
              <w:sz w:val="28"/>
            </w:rPr>
            <w:tab/>
          </w:r>
          <w:r>
            <w:rPr>
              <w:rFonts w:eastAsia="宋体"/>
              <w:sz w:val="28"/>
            </w:rPr>
            <w:fldChar w:fldCharType="begin"/>
          </w:r>
          <w:r>
            <w:rPr>
              <w:rFonts w:eastAsia="宋体"/>
              <w:sz w:val="28"/>
            </w:rPr>
            <w:instrText xml:space="preserve"> PAGEREF _Toc15492 \h </w:instrText>
          </w:r>
          <w:r>
            <w:rPr>
              <w:rFonts w:eastAsia="宋体"/>
              <w:sz w:val="28"/>
            </w:rPr>
            <w:fldChar w:fldCharType="separate"/>
          </w:r>
          <w:r>
            <w:rPr>
              <w:rFonts w:eastAsia="宋体"/>
              <w:sz w:val="28"/>
            </w:rPr>
            <w:t>- 20 -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B6782D5">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_Toc11255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六、应急保障</w:t>
          </w:r>
          <w:r>
            <w:rPr>
              <w:rFonts w:eastAsia="宋体"/>
              <w:sz w:val="28"/>
            </w:rPr>
            <w:tab/>
          </w:r>
          <w:r>
            <w:rPr>
              <w:rFonts w:eastAsia="宋体"/>
              <w:sz w:val="28"/>
            </w:rPr>
            <w:fldChar w:fldCharType="begin"/>
          </w:r>
          <w:r>
            <w:rPr>
              <w:rFonts w:eastAsia="宋体"/>
              <w:sz w:val="28"/>
            </w:rPr>
            <w:instrText xml:space="preserve"> PAGEREF _Toc11255 \h </w:instrText>
          </w:r>
          <w:r>
            <w:rPr>
              <w:rFonts w:eastAsia="宋体"/>
              <w:sz w:val="28"/>
            </w:rPr>
            <w:fldChar w:fldCharType="separate"/>
          </w:r>
          <w:r>
            <w:rPr>
              <w:rFonts w:eastAsia="宋体"/>
              <w:sz w:val="28"/>
            </w:rPr>
            <w:t>- 21 -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465395C8">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_Toc24971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（一）人力保障</w:t>
          </w:r>
          <w:r>
            <w:rPr>
              <w:rFonts w:eastAsia="宋体"/>
              <w:sz w:val="28"/>
            </w:rPr>
            <w:tab/>
          </w:r>
          <w:r>
            <w:rPr>
              <w:rFonts w:eastAsia="宋体"/>
              <w:sz w:val="28"/>
            </w:rPr>
            <w:fldChar w:fldCharType="begin"/>
          </w:r>
          <w:r>
            <w:rPr>
              <w:rFonts w:eastAsia="宋体"/>
              <w:sz w:val="28"/>
            </w:rPr>
            <w:instrText xml:space="preserve"> PAGEREF _Toc24971 \h </w:instrText>
          </w:r>
          <w:r>
            <w:rPr>
              <w:rFonts w:eastAsia="宋体"/>
              <w:sz w:val="28"/>
            </w:rPr>
            <w:fldChar w:fldCharType="separate"/>
          </w:r>
          <w:r>
            <w:rPr>
              <w:rFonts w:eastAsia="宋体"/>
              <w:sz w:val="28"/>
            </w:rPr>
            <w:t>- 21 -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0E89DB9">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_Toc13177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（二）资金保障</w:t>
          </w:r>
          <w:r>
            <w:rPr>
              <w:rFonts w:eastAsia="宋体"/>
              <w:sz w:val="28"/>
            </w:rPr>
            <w:tab/>
          </w:r>
          <w:r>
            <w:rPr>
              <w:rFonts w:eastAsia="宋体"/>
              <w:sz w:val="28"/>
            </w:rPr>
            <w:fldChar w:fldCharType="begin"/>
          </w:r>
          <w:r>
            <w:rPr>
              <w:rFonts w:eastAsia="宋体"/>
              <w:sz w:val="28"/>
            </w:rPr>
            <w:instrText xml:space="preserve"> PAGEREF _Toc13177 \h </w:instrText>
          </w:r>
          <w:r>
            <w:rPr>
              <w:rFonts w:eastAsia="宋体"/>
              <w:sz w:val="28"/>
            </w:rPr>
            <w:fldChar w:fldCharType="separate"/>
          </w:r>
          <w:r>
            <w:rPr>
              <w:rFonts w:eastAsia="宋体"/>
              <w:sz w:val="28"/>
            </w:rPr>
            <w:t>- 21 -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5EFEF4C">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_Toc10851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（三）物资保障</w:t>
          </w:r>
          <w:r>
            <w:rPr>
              <w:rFonts w:eastAsia="宋体"/>
              <w:sz w:val="28"/>
            </w:rPr>
            <w:tab/>
          </w:r>
          <w:r>
            <w:rPr>
              <w:rFonts w:eastAsia="宋体"/>
              <w:sz w:val="28"/>
            </w:rPr>
            <w:fldChar w:fldCharType="begin"/>
          </w:r>
          <w:r>
            <w:rPr>
              <w:rFonts w:eastAsia="宋体"/>
              <w:sz w:val="28"/>
            </w:rPr>
            <w:instrText xml:space="preserve"> PAGEREF _Toc10851 \h </w:instrText>
          </w:r>
          <w:r>
            <w:rPr>
              <w:rFonts w:eastAsia="宋体"/>
              <w:sz w:val="28"/>
            </w:rPr>
            <w:fldChar w:fldCharType="separate"/>
          </w:r>
          <w:r>
            <w:rPr>
              <w:rFonts w:eastAsia="宋体"/>
              <w:sz w:val="28"/>
            </w:rPr>
            <w:t>- 21 -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EFE47ED">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_Toc29048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（四）医疗卫生保障</w:t>
          </w:r>
          <w:r>
            <w:rPr>
              <w:rFonts w:eastAsia="宋体"/>
              <w:sz w:val="28"/>
            </w:rPr>
            <w:tab/>
          </w:r>
          <w:r>
            <w:rPr>
              <w:rFonts w:eastAsia="宋体"/>
              <w:sz w:val="28"/>
            </w:rPr>
            <w:fldChar w:fldCharType="begin"/>
          </w:r>
          <w:r>
            <w:rPr>
              <w:rFonts w:eastAsia="宋体"/>
              <w:sz w:val="28"/>
            </w:rPr>
            <w:instrText xml:space="preserve"> PAGEREF _Toc29048 \h </w:instrText>
          </w:r>
          <w:r>
            <w:rPr>
              <w:rFonts w:eastAsia="宋体"/>
              <w:sz w:val="28"/>
            </w:rPr>
            <w:fldChar w:fldCharType="separate"/>
          </w:r>
          <w:r>
            <w:rPr>
              <w:rFonts w:eastAsia="宋体"/>
              <w:sz w:val="28"/>
            </w:rPr>
            <w:t>- 22 -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11819A04">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_Toc746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（五）信息保障</w:t>
          </w:r>
          <w:r>
            <w:rPr>
              <w:rFonts w:eastAsia="宋体"/>
              <w:sz w:val="28"/>
            </w:rPr>
            <w:tab/>
          </w:r>
          <w:r>
            <w:rPr>
              <w:rFonts w:eastAsia="宋体"/>
              <w:sz w:val="28"/>
            </w:rPr>
            <w:fldChar w:fldCharType="begin"/>
          </w:r>
          <w:r>
            <w:rPr>
              <w:rFonts w:eastAsia="宋体"/>
              <w:sz w:val="28"/>
            </w:rPr>
            <w:instrText xml:space="preserve"> PAGEREF _Toc746 \h </w:instrText>
          </w:r>
          <w:r>
            <w:rPr>
              <w:rFonts w:eastAsia="宋体"/>
              <w:sz w:val="28"/>
            </w:rPr>
            <w:fldChar w:fldCharType="separate"/>
          </w:r>
          <w:r>
            <w:rPr>
              <w:rFonts w:eastAsia="宋体"/>
              <w:sz w:val="28"/>
            </w:rPr>
            <w:t>- 22 -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32E0270">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_Toc7153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七、监督管理</w:t>
          </w:r>
          <w:r>
            <w:rPr>
              <w:rFonts w:eastAsia="宋体"/>
              <w:sz w:val="28"/>
            </w:rPr>
            <w:tab/>
          </w:r>
          <w:r>
            <w:rPr>
              <w:rFonts w:eastAsia="宋体"/>
              <w:sz w:val="28"/>
            </w:rPr>
            <w:fldChar w:fldCharType="begin"/>
          </w:r>
          <w:r>
            <w:rPr>
              <w:rFonts w:eastAsia="宋体"/>
              <w:sz w:val="28"/>
            </w:rPr>
            <w:instrText xml:space="preserve"> PAGEREF _Toc7153 \h </w:instrText>
          </w:r>
          <w:r>
            <w:rPr>
              <w:rFonts w:eastAsia="宋体"/>
              <w:sz w:val="28"/>
            </w:rPr>
            <w:fldChar w:fldCharType="separate"/>
          </w:r>
          <w:r>
            <w:rPr>
              <w:rFonts w:eastAsia="宋体"/>
              <w:sz w:val="28"/>
            </w:rPr>
            <w:t>- 23 -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2AAA581">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_Toc9338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（一）预案演练</w:t>
          </w:r>
          <w:r>
            <w:rPr>
              <w:rFonts w:eastAsia="宋体"/>
              <w:sz w:val="28"/>
            </w:rPr>
            <w:tab/>
          </w:r>
          <w:r>
            <w:rPr>
              <w:rFonts w:eastAsia="宋体"/>
              <w:sz w:val="28"/>
            </w:rPr>
            <w:fldChar w:fldCharType="begin"/>
          </w:r>
          <w:r>
            <w:rPr>
              <w:rFonts w:eastAsia="宋体"/>
              <w:sz w:val="28"/>
            </w:rPr>
            <w:instrText xml:space="preserve"> PAGEREF _Toc9338 \h </w:instrText>
          </w:r>
          <w:r>
            <w:rPr>
              <w:rFonts w:eastAsia="宋体"/>
              <w:sz w:val="28"/>
            </w:rPr>
            <w:fldChar w:fldCharType="separate"/>
          </w:r>
          <w:r>
            <w:rPr>
              <w:rFonts w:eastAsia="宋体"/>
              <w:sz w:val="28"/>
            </w:rPr>
            <w:t>- 23 -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28D61360">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_Toc18376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（二）设施设备定期维护</w:t>
          </w:r>
          <w:r>
            <w:rPr>
              <w:rFonts w:eastAsia="宋体"/>
              <w:sz w:val="28"/>
            </w:rPr>
            <w:tab/>
          </w:r>
          <w:r>
            <w:rPr>
              <w:rFonts w:eastAsia="宋体"/>
              <w:sz w:val="28"/>
            </w:rPr>
            <w:fldChar w:fldCharType="begin"/>
          </w:r>
          <w:r>
            <w:rPr>
              <w:rFonts w:eastAsia="宋体"/>
              <w:sz w:val="28"/>
            </w:rPr>
            <w:instrText xml:space="preserve"> PAGEREF _Toc18376 \h </w:instrText>
          </w:r>
          <w:r>
            <w:rPr>
              <w:rFonts w:eastAsia="宋体"/>
              <w:sz w:val="28"/>
            </w:rPr>
            <w:fldChar w:fldCharType="separate"/>
          </w:r>
          <w:r>
            <w:rPr>
              <w:rFonts w:eastAsia="宋体"/>
              <w:sz w:val="28"/>
            </w:rPr>
            <w:t>- 23 -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D11CEA5">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_Toc10538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（三）培训和宣传教育</w:t>
          </w:r>
          <w:r>
            <w:rPr>
              <w:rFonts w:eastAsia="宋体"/>
              <w:sz w:val="28"/>
            </w:rPr>
            <w:tab/>
          </w:r>
          <w:r>
            <w:rPr>
              <w:rFonts w:eastAsia="宋体"/>
              <w:sz w:val="28"/>
            </w:rPr>
            <w:fldChar w:fldCharType="begin"/>
          </w:r>
          <w:r>
            <w:rPr>
              <w:rFonts w:eastAsia="宋体"/>
              <w:sz w:val="28"/>
            </w:rPr>
            <w:instrText xml:space="preserve"> PAGEREF _Toc10538 \h </w:instrText>
          </w:r>
          <w:r>
            <w:rPr>
              <w:rFonts w:eastAsia="宋体"/>
              <w:sz w:val="28"/>
            </w:rPr>
            <w:fldChar w:fldCharType="separate"/>
          </w:r>
          <w:r>
            <w:rPr>
              <w:rFonts w:eastAsia="宋体"/>
              <w:sz w:val="28"/>
            </w:rPr>
            <w:t>- 23 -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5B618E5">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_Toc16747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（四）监督考核</w:t>
          </w:r>
          <w:r>
            <w:rPr>
              <w:rFonts w:eastAsia="宋体"/>
              <w:sz w:val="28"/>
            </w:rPr>
            <w:tab/>
          </w:r>
          <w:r>
            <w:rPr>
              <w:rFonts w:eastAsia="宋体"/>
              <w:sz w:val="28"/>
            </w:rPr>
            <w:fldChar w:fldCharType="begin"/>
          </w:r>
          <w:r>
            <w:rPr>
              <w:rFonts w:eastAsia="宋体"/>
              <w:sz w:val="28"/>
            </w:rPr>
            <w:instrText xml:space="preserve"> PAGEREF _Toc16747 \h </w:instrText>
          </w:r>
          <w:r>
            <w:rPr>
              <w:rFonts w:eastAsia="宋体"/>
              <w:sz w:val="28"/>
            </w:rPr>
            <w:fldChar w:fldCharType="separate"/>
          </w:r>
          <w:r>
            <w:rPr>
              <w:rFonts w:eastAsia="宋体"/>
              <w:sz w:val="28"/>
            </w:rPr>
            <w:t>- 25 -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65B5B92D">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_Toc30563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sz w:val="28"/>
              <w:szCs w:val="32"/>
              <w:lang w:eastAsia="zh-CN"/>
            </w:rPr>
            <w:t>（五）责任追究</w:t>
          </w:r>
          <w:r>
            <w:rPr>
              <w:rFonts w:eastAsia="宋体"/>
              <w:sz w:val="28"/>
            </w:rPr>
            <w:tab/>
          </w:r>
          <w:r>
            <w:rPr>
              <w:rFonts w:eastAsia="宋体"/>
              <w:sz w:val="28"/>
            </w:rPr>
            <w:fldChar w:fldCharType="begin"/>
          </w:r>
          <w:r>
            <w:rPr>
              <w:rFonts w:eastAsia="宋体"/>
              <w:sz w:val="28"/>
            </w:rPr>
            <w:instrText xml:space="preserve"> PAGEREF _Toc30563 \h </w:instrText>
          </w:r>
          <w:r>
            <w:rPr>
              <w:rFonts w:eastAsia="宋体"/>
              <w:sz w:val="28"/>
            </w:rPr>
            <w:fldChar w:fldCharType="separate"/>
          </w:r>
          <w:r>
            <w:rPr>
              <w:rFonts w:eastAsia="宋体"/>
              <w:sz w:val="28"/>
            </w:rPr>
            <w:t>- 25 -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7F9FCC1C">
          <w:pPr>
            <w:pStyle w:val="10"/>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_Toc11461 </w:instrText>
          </w:r>
          <w:r>
            <w:rPr>
              <w:rFonts w:hint="eastAsia" w:ascii="仿宋" w:hAnsi="仿宋" w:eastAsia="宋体" w:cs="仿宋"/>
              <w:kern w:val="2"/>
              <w:sz w:val="28"/>
              <w:szCs w:val="32"/>
              <w:lang w:val="en-US" w:eastAsia="zh-CN"/>
            </w:rPr>
            <w:fldChar w:fldCharType="separate"/>
          </w:r>
          <w:r>
            <w:rPr>
              <w:rFonts w:hint="eastAsia" w:ascii="黑体" w:hAnsi="黑体" w:eastAsia="宋体" w:cs="黑体"/>
              <w:b/>
              <w:bCs/>
              <w:sz w:val="28"/>
              <w:szCs w:val="32"/>
              <w:lang w:eastAsia="zh-CN"/>
            </w:rPr>
            <w:t>八、</w:t>
          </w:r>
          <w:r>
            <w:rPr>
              <w:rFonts w:hint="eastAsia" w:ascii="黑体" w:hAnsi="黑体" w:eastAsia="宋体" w:cs="黑体"/>
              <w:b/>
              <w:bCs/>
              <w:sz w:val="28"/>
              <w:szCs w:val="32"/>
            </w:rPr>
            <w:t>附则</w:t>
          </w:r>
          <w:r>
            <w:rPr>
              <w:rFonts w:eastAsia="宋体"/>
              <w:sz w:val="28"/>
            </w:rPr>
            <w:tab/>
          </w:r>
          <w:r>
            <w:rPr>
              <w:rFonts w:eastAsia="宋体"/>
              <w:sz w:val="28"/>
            </w:rPr>
            <w:fldChar w:fldCharType="begin"/>
          </w:r>
          <w:r>
            <w:rPr>
              <w:rFonts w:eastAsia="宋体"/>
              <w:sz w:val="28"/>
            </w:rPr>
            <w:instrText xml:space="preserve"> PAGEREF _Toc11461 \h </w:instrText>
          </w:r>
          <w:r>
            <w:rPr>
              <w:rFonts w:eastAsia="宋体"/>
              <w:sz w:val="28"/>
            </w:rPr>
            <w:fldChar w:fldCharType="separate"/>
          </w:r>
          <w:r>
            <w:rPr>
              <w:rFonts w:eastAsia="宋体"/>
              <w:sz w:val="28"/>
            </w:rPr>
            <w:t>- 27 -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661BD3F">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_Toc30825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（一）</w:t>
          </w:r>
          <w:r>
            <w:rPr>
              <w:rFonts w:hint="eastAsia" w:ascii="楷体" w:hAnsi="楷体" w:eastAsia="宋体" w:cs="楷体"/>
              <w:bCs w:val="0"/>
              <w:sz w:val="28"/>
            </w:rPr>
            <w:t>本应急预案的批准</w:t>
          </w:r>
          <w:r>
            <w:rPr>
              <w:rFonts w:eastAsia="宋体"/>
              <w:sz w:val="28"/>
            </w:rPr>
            <w:tab/>
          </w:r>
          <w:r>
            <w:rPr>
              <w:rFonts w:eastAsia="宋体"/>
              <w:sz w:val="28"/>
            </w:rPr>
            <w:fldChar w:fldCharType="begin"/>
          </w:r>
          <w:r>
            <w:rPr>
              <w:rFonts w:eastAsia="宋体"/>
              <w:sz w:val="28"/>
            </w:rPr>
            <w:instrText xml:space="preserve"> PAGEREF _Toc30825 \h </w:instrText>
          </w:r>
          <w:r>
            <w:rPr>
              <w:rFonts w:eastAsia="宋体"/>
              <w:sz w:val="28"/>
            </w:rPr>
            <w:fldChar w:fldCharType="separate"/>
          </w:r>
          <w:r>
            <w:rPr>
              <w:rFonts w:eastAsia="宋体"/>
              <w:sz w:val="28"/>
            </w:rPr>
            <w:t>- 27 -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5D9F7B41">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_Toc31876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（二）</w:t>
          </w:r>
          <w:r>
            <w:rPr>
              <w:rFonts w:hint="eastAsia" w:ascii="楷体" w:hAnsi="楷体" w:eastAsia="宋体" w:cs="楷体"/>
              <w:bCs w:val="0"/>
              <w:sz w:val="28"/>
            </w:rPr>
            <w:t>本应急预案的修订</w:t>
          </w:r>
          <w:r>
            <w:rPr>
              <w:rFonts w:eastAsia="宋体"/>
              <w:sz w:val="28"/>
            </w:rPr>
            <w:tab/>
          </w:r>
          <w:r>
            <w:rPr>
              <w:rFonts w:eastAsia="宋体"/>
              <w:sz w:val="28"/>
            </w:rPr>
            <w:fldChar w:fldCharType="begin"/>
          </w:r>
          <w:r>
            <w:rPr>
              <w:rFonts w:eastAsia="宋体"/>
              <w:sz w:val="28"/>
            </w:rPr>
            <w:instrText xml:space="preserve"> PAGEREF _Toc31876 \h </w:instrText>
          </w:r>
          <w:r>
            <w:rPr>
              <w:rFonts w:eastAsia="宋体"/>
              <w:sz w:val="28"/>
            </w:rPr>
            <w:fldChar w:fldCharType="separate"/>
          </w:r>
          <w:r>
            <w:rPr>
              <w:rFonts w:eastAsia="宋体"/>
              <w:sz w:val="28"/>
            </w:rPr>
            <w:t>- 27 -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53DB3CF">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hint="eastAsia" w:ascii="仿宋" w:hAnsi="仿宋" w:eastAsia="宋体" w:cs="仿宋"/>
              <w:color w:val="auto"/>
              <w:kern w:val="2"/>
              <w:sz w:val="28"/>
              <w:szCs w:val="32"/>
              <w:lang w:val="en-US" w:eastAsia="zh-CN"/>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_Toc6604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（三）预案解释部门</w:t>
          </w:r>
          <w:r>
            <w:rPr>
              <w:rFonts w:eastAsia="宋体"/>
              <w:sz w:val="28"/>
            </w:rPr>
            <w:tab/>
          </w:r>
          <w:r>
            <w:rPr>
              <w:rFonts w:eastAsia="宋体"/>
              <w:sz w:val="28"/>
            </w:rPr>
            <w:fldChar w:fldCharType="begin"/>
          </w:r>
          <w:r>
            <w:rPr>
              <w:rFonts w:eastAsia="宋体"/>
              <w:sz w:val="28"/>
            </w:rPr>
            <w:instrText xml:space="preserve"> PAGEREF _Toc6604 \h </w:instrText>
          </w:r>
          <w:r>
            <w:rPr>
              <w:rFonts w:eastAsia="宋体"/>
              <w:sz w:val="28"/>
            </w:rPr>
            <w:fldChar w:fldCharType="separate"/>
          </w:r>
          <w:r>
            <w:rPr>
              <w:rFonts w:eastAsia="宋体"/>
              <w:sz w:val="28"/>
            </w:rPr>
            <w:t>- 27 -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03662626">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_Toc26907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（四）本应急预案关系说明</w:t>
          </w:r>
          <w:r>
            <w:rPr>
              <w:rFonts w:eastAsia="宋体"/>
              <w:sz w:val="28"/>
            </w:rPr>
            <w:tab/>
          </w:r>
          <w:r>
            <w:rPr>
              <w:rFonts w:eastAsia="宋体"/>
              <w:sz w:val="28"/>
            </w:rPr>
            <w:fldChar w:fldCharType="begin"/>
          </w:r>
          <w:r>
            <w:rPr>
              <w:rFonts w:eastAsia="宋体"/>
              <w:sz w:val="28"/>
            </w:rPr>
            <w:instrText xml:space="preserve"> PAGEREF _Toc26907 \h </w:instrText>
          </w:r>
          <w:r>
            <w:rPr>
              <w:rFonts w:eastAsia="宋体"/>
              <w:sz w:val="28"/>
            </w:rPr>
            <w:fldChar w:fldCharType="separate"/>
          </w:r>
          <w:r>
            <w:rPr>
              <w:rFonts w:eastAsia="宋体"/>
              <w:sz w:val="28"/>
            </w:rPr>
            <w:t>- 27 -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1EE8EC23">
          <w:pPr>
            <w:pStyle w:val="2"/>
            <w:keepNext w:val="0"/>
            <w:keepLines w:val="0"/>
            <w:pageBreakBefore w:val="0"/>
            <w:widowControl w:val="0"/>
            <w:tabs>
              <w:tab w:val="right" w:leader="dot" w:pos="8845"/>
            </w:tabs>
            <w:kinsoku/>
            <w:wordWrap/>
            <w:overflowPunct/>
            <w:topLinePunct w:val="0"/>
            <w:autoSpaceDE/>
            <w:autoSpaceDN/>
            <w:bidi w:val="0"/>
            <w:adjustRightInd/>
            <w:snapToGrid/>
            <w:spacing w:line="500" w:lineRule="exact"/>
            <w:textAlignment w:val="auto"/>
            <w:rPr>
              <w:rFonts w:eastAsia="宋体"/>
              <w:sz w:val="28"/>
            </w:rPr>
          </w:pPr>
          <w:r>
            <w:rPr>
              <w:rFonts w:hint="eastAsia" w:ascii="仿宋" w:hAnsi="仿宋" w:eastAsia="宋体" w:cs="仿宋"/>
              <w:color w:val="auto"/>
              <w:kern w:val="2"/>
              <w:sz w:val="28"/>
              <w:szCs w:val="32"/>
              <w:lang w:val="en-US" w:eastAsia="zh-CN"/>
            </w:rPr>
            <w:fldChar w:fldCharType="begin"/>
          </w:r>
          <w:r>
            <w:rPr>
              <w:rFonts w:hint="eastAsia" w:ascii="仿宋" w:hAnsi="仿宋" w:eastAsia="宋体" w:cs="仿宋"/>
              <w:kern w:val="2"/>
              <w:sz w:val="28"/>
              <w:szCs w:val="32"/>
              <w:lang w:val="en-US" w:eastAsia="zh-CN"/>
            </w:rPr>
            <w:instrText xml:space="preserve"> HYPERLINK \l _Toc23017 </w:instrText>
          </w:r>
          <w:r>
            <w:rPr>
              <w:rFonts w:hint="eastAsia" w:ascii="仿宋" w:hAnsi="仿宋" w:eastAsia="宋体" w:cs="仿宋"/>
              <w:kern w:val="2"/>
              <w:sz w:val="28"/>
              <w:szCs w:val="32"/>
              <w:lang w:val="en-US" w:eastAsia="zh-CN"/>
            </w:rPr>
            <w:fldChar w:fldCharType="separate"/>
          </w:r>
          <w:r>
            <w:rPr>
              <w:rFonts w:hint="eastAsia" w:ascii="楷体" w:hAnsi="楷体" w:eastAsia="宋体" w:cs="楷体"/>
              <w:bCs w:val="0"/>
              <w:sz w:val="28"/>
              <w:lang w:eastAsia="zh-CN"/>
            </w:rPr>
            <w:t>（五）预案实施时间</w:t>
          </w:r>
          <w:r>
            <w:rPr>
              <w:rFonts w:eastAsia="宋体"/>
              <w:sz w:val="28"/>
            </w:rPr>
            <w:tab/>
          </w:r>
          <w:r>
            <w:rPr>
              <w:rFonts w:eastAsia="宋体"/>
              <w:sz w:val="28"/>
            </w:rPr>
            <w:fldChar w:fldCharType="begin"/>
          </w:r>
          <w:r>
            <w:rPr>
              <w:rFonts w:eastAsia="宋体"/>
              <w:sz w:val="28"/>
            </w:rPr>
            <w:instrText xml:space="preserve"> PAGEREF _Toc23017 \h </w:instrText>
          </w:r>
          <w:r>
            <w:rPr>
              <w:rFonts w:eastAsia="宋体"/>
              <w:sz w:val="28"/>
            </w:rPr>
            <w:fldChar w:fldCharType="separate"/>
          </w:r>
          <w:r>
            <w:rPr>
              <w:rFonts w:eastAsia="宋体"/>
              <w:sz w:val="28"/>
            </w:rPr>
            <w:t>- 28 -</w:t>
          </w:r>
          <w:r>
            <w:rPr>
              <w:rFonts w:eastAsia="宋体"/>
              <w:sz w:val="28"/>
            </w:rPr>
            <w:fldChar w:fldCharType="end"/>
          </w:r>
          <w:r>
            <w:rPr>
              <w:rFonts w:hint="eastAsia" w:ascii="仿宋" w:hAnsi="仿宋" w:eastAsia="宋体" w:cs="仿宋"/>
              <w:color w:val="auto"/>
              <w:kern w:val="2"/>
              <w:sz w:val="28"/>
              <w:szCs w:val="32"/>
              <w:lang w:val="en-US" w:eastAsia="zh-CN"/>
            </w:rPr>
            <w:fldChar w:fldCharType="end"/>
          </w:r>
        </w:p>
        <w:p w14:paraId="1114CCB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kern w:val="2"/>
              <w:sz w:val="21"/>
              <w:szCs w:val="32"/>
              <w:lang w:val="en-US" w:eastAsia="zh-CN"/>
            </w:rPr>
          </w:pPr>
          <w:r>
            <w:rPr>
              <w:rFonts w:hint="eastAsia" w:ascii="仿宋" w:hAnsi="仿宋" w:eastAsia="仿宋" w:cs="仿宋"/>
              <w:color w:val="auto"/>
              <w:kern w:val="2"/>
              <w:szCs w:val="32"/>
              <w:lang w:val="en-US" w:eastAsia="zh-CN"/>
            </w:rPr>
            <w:fldChar w:fldCharType="end"/>
          </w:r>
        </w:p>
      </w:sdtContent>
    </w:sdt>
    <w:p w14:paraId="0C4CA4CB">
      <w:pPr>
        <w:rPr>
          <w:rFonts w:hint="eastAsia" w:ascii="仿宋" w:hAnsi="仿宋" w:eastAsia="仿宋" w:cs="仿宋"/>
          <w:color w:val="auto"/>
          <w:kern w:val="2"/>
          <w:sz w:val="21"/>
          <w:szCs w:val="32"/>
          <w:lang w:val="en-US" w:eastAsia="zh-CN"/>
        </w:rPr>
      </w:pPr>
    </w:p>
    <w:p w14:paraId="4BE80FE1">
      <w:pPr>
        <w:rPr>
          <w:rFonts w:hint="eastAsia" w:ascii="仿宋" w:hAnsi="仿宋" w:eastAsia="仿宋" w:cs="仿宋"/>
          <w:color w:val="auto"/>
          <w:kern w:val="2"/>
          <w:sz w:val="21"/>
          <w:szCs w:val="32"/>
          <w:lang w:val="en-US" w:eastAsia="zh-CN"/>
        </w:rPr>
      </w:pPr>
    </w:p>
    <w:p w14:paraId="2204CC02">
      <w:pPr>
        <w:pStyle w:val="2"/>
        <w:ind w:left="0" w:leftChars="0" w:firstLine="0" w:firstLineChars="0"/>
        <w:rPr>
          <w:rFonts w:hint="eastAsia"/>
          <w:lang w:val="en-US" w:eastAsia="zh-CN"/>
        </w:rPr>
        <w:sectPr>
          <w:footerReference r:id="rId3" w:type="default"/>
          <w:pgSz w:w="11906" w:h="16838"/>
          <w:pgMar w:top="2098" w:right="1474" w:bottom="1984" w:left="1587" w:header="851" w:footer="992" w:gutter="0"/>
          <w:pgNumType w:fmt="upperRoman"/>
          <w:cols w:space="425" w:num="1"/>
          <w:docGrid w:type="lines" w:linePitch="312" w:charSpace="0"/>
        </w:sectPr>
      </w:pPr>
    </w:p>
    <w:p w14:paraId="351E7D51">
      <w:pPr>
        <w:rPr>
          <w:rFonts w:hint="eastAsia"/>
          <w:lang w:val="en-US" w:eastAsia="zh-CN"/>
        </w:rPr>
      </w:pPr>
    </w:p>
    <w:p w14:paraId="6D7AD142">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color w:val="auto"/>
          <w:sz w:val="32"/>
          <w:szCs w:val="32"/>
          <w:lang w:eastAsia="zh-CN"/>
        </w:rPr>
      </w:pPr>
      <w:bookmarkStart w:id="5" w:name="_Toc29876"/>
      <w:r>
        <w:rPr>
          <w:rFonts w:hint="eastAsia" w:ascii="黑体" w:hAnsi="黑体" w:eastAsia="黑体" w:cs="黑体"/>
          <w:b w:val="0"/>
          <w:color w:val="auto"/>
          <w:sz w:val="32"/>
          <w:szCs w:val="32"/>
          <w:lang w:eastAsia="zh-CN"/>
        </w:rPr>
        <w:t>一、总则</w:t>
      </w:r>
      <w:bookmarkEnd w:id="5"/>
    </w:p>
    <w:p w14:paraId="429588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b w:val="0"/>
          <w:color w:val="auto"/>
          <w:sz w:val="32"/>
          <w:szCs w:val="32"/>
          <w:lang w:eastAsia="zh-CN"/>
        </w:rPr>
      </w:pPr>
      <w:bookmarkStart w:id="6" w:name="_Toc3953"/>
      <w:r>
        <w:rPr>
          <w:rFonts w:hint="eastAsia" w:ascii="楷体" w:hAnsi="楷体" w:eastAsia="楷体" w:cs="楷体"/>
          <w:b w:val="0"/>
          <w:color w:val="auto"/>
          <w:sz w:val="32"/>
          <w:szCs w:val="32"/>
          <w:lang w:eastAsia="zh-CN"/>
        </w:rPr>
        <w:t>（一）编制目的</w:t>
      </w:r>
      <w:bookmarkEnd w:id="6"/>
    </w:p>
    <w:p w14:paraId="1E9223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eastAsia="zh-CN"/>
        </w:rPr>
        <w:t>辐射技术在工农业、医学、科研和教学等领域有着广泛的应用，为及时、科学、合理、有效处置辐射事故，保障人民群众身体健康和环境安全，最大限度减少辐射事故的影响，启动本应急预案，并作出正确的响应。</w:t>
      </w:r>
    </w:p>
    <w:p w14:paraId="1CEBD4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b w:val="0"/>
          <w:color w:val="auto"/>
          <w:sz w:val="32"/>
          <w:szCs w:val="32"/>
          <w:lang w:eastAsia="zh-CN"/>
        </w:rPr>
      </w:pPr>
      <w:bookmarkStart w:id="7" w:name="_Toc25120"/>
      <w:r>
        <w:rPr>
          <w:rFonts w:hint="eastAsia" w:ascii="楷体" w:hAnsi="楷体" w:eastAsia="楷体" w:cs="楷体"/>
          <w:b w:val="0"/>
          <w:color w:val="auto"/>
          <w:sz w:val="32"/>
          <w:szCs w:val="32"/>
          <w:lang w:eastAsia="zh-CN"/>
        </w:rPr>
        <w:t>（二）编制依据</w:t>
      </w:r>
      <w:bookmarkEnd w:id="7"/>
    </w:p>
    <w:p w14:paraId="2BB719A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color w:val="auto"/>
          <w:lang w:eastAsia="zh-CN"/>
        </w:rPr>
      </w:pPr>
      <w:r>
        <w:rPr>
          <w:rFonts w:hint="eastAsia" w:ascii="仿宋_GB2312" w:hAnsi="仿宋_GB2312" w:eastAsia="仿宋_GB2312" w:cs="仿宋_GB2312"/>
          <w:b w:val="0"/>
          <w:color w:val="auto"/>
          <w:sz w:val="32"/>
          <w:szCs w:val="32"/>
          <w:highlight w:val="none"/>
          <w:lang w:eastAsia="zh-CN"/>
        </w:rPr>
        <w:t>《中华人民共和国突发事件应对法》</w:t>
      </w:r>
    </w:p>
    <w:p w14:paraId="22759E9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color w:val="auto"/>
          <w:sz w:val="32"/>
          <w:szCs w:val="32"/>
          <w:highlight w:val="none"/>
          <w:lang w:eastAsia="zh-CN"/>
        </w:rPr>
      </w:pPr>
      <w:r>
        <w:rPr>
          <w:rFonts w:hint="eastAsia" w:ascii="仿宋_GB2312" w:hAnsi="仿宋_GB2312" w:eastAsia="仿宋_GB2312" w:cs="仿宋_GB2312"/>
          <w:b w:val="0"/>
          <w:color w:val="auto"/>
          <w:sz w:val="32"/>
          <w:szCs w:val="32"/>
          <w:highlight w:val="none"/>
          <w:lang w:eastAsia="zh-CN"/>
        </w:rPr>
        <w:t>《中华人民共和国放射性污染防治法》</w:t>
      </w:r>
    </w:p>
    <w:p w14:paraId="71B46559">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color w:val="auto"/>
          <w:sz w:val="32"/>
          <w:szCs w:val="32"/>
          <w:highlight w:val="none"/>
          <w:lang w:eastAsia="zh-CN"/>
        </w:rPr>
      </w:pPr>
      <w:r>
        <w:rPr>
          <w:rFonts w:hint="eastAsia" w:ascii="仿宋_GB2312" w:hAnsi="仿宋_GB2312" w:eastAsia="仿宋_GB2312" w:cs="仿宋_GB2312"/>
          <w:b w:val="0"/>
          <w:color w:val="auto"/>
          <w:sz w:val="32"/>
          <w:szCs w:val="32"/>
          <w:highlight w:val="none"/>
          <w:lang w:eastAsia="zh-CN"/>
        </w:rPr>
        <w:t>《</w:t>
      </w:r>
      <w:bookmarkStart w:id="8" w:name="OLE_LINK3"/>
      <w:r>
        <w:rPr>
          <w:rFonts w:hint="eastAsia" w:ascii="仿宋_GB2312" w:hAnsi="仿宋_GB2312" w:eastAsia="仿宋_GB2312" w:cs="仿宋_GB2312"/>
          <w:b w:val="0"/>
          <w:color w:val="auto"/>
          <w:sz w:val="32"/>
          <w:szCs w:val="32"/>
          <w:highlight w:val="none"/>
          <w:lang w:eastAsia="zh-CN"/>
        </w:rPr>
        <w:t>放射性同位素与射线装置安全和防护条例</w:t>
      </w:r>
      <w:bookmarkEnd w:id="8"/>
      <w:r>
        <w:rPr>
          <w:rFonts w:hint="eastAsia" w:ascii="仿宋_GB2312" w:hAnsi="仿宋_GB2312" w:eastAsia="仿宋_GB2312" w:cs="仿宋_GB2312"/>
          <w:b w:val="0"/>
          <w:color w:val="auto"/>
          <w:sz w:val="32"/>
          <w:szCs w:val="32"/>
          <w:highlight w:val="none"/>
          <w:lang w:eastAsia="zh-CN"/>
        </w:rPr>
        <w:t>》</w:t>
      </w:r>
    </w:p>
    <w:p w14:paraId="155284CD">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color w:val="auto"/>
          <w:lang w:eastAsia="zh-CN"/>
        </w:rPr>
      </w:pPr>
      <w:r>
        <w:rPr>
          <w:rFonts w:hint="eastAsia" w:ascii="仿宋_GB2312" w:hAnsi="仿宋_GB2312" w:eastAsia="仿宋_GB2312" w:cs="仿宋_GB2312"/>
          <w:b w:val="0"/>
          <w:color w:val="auto"/>
          <w:sz w:val="32"/>
          <w:szCs w:val="32"/>
          <w:highlight w:val="none"/>
          <w:lang w:eastAsia="zh-CN"/>
        </w:rPr>
        <w:t>《</w:t>
      </w:r>
      <w:r>
        <w:rPr>
          <w:rFonts w:hint="eastAsia" w:ascii="仿宋_GB2312" w:hAnsi="仿宋_GB2312" w:eastAsia="仿宋_GB2312" w:cs="仿宋_GB2312"/>
          <w:b w:val="0"/>
          <w:color w:val="auto"/>
          <w:sz w:val="32"/>
          <w:szCs w:val="32"/>
          <w:lang w:eastAsia="zh-CN"/>
        </w:rPr>
        <w:t>电离辐射防护与辐射源安全基本标准》</w:t>
      </w:r>
    </w:p>
    <w:p w14:paraId="5DA9E48C">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color w:val="auto"/>
          <w:lang w:eastAsia="zh-CN"/>
        </w:rPr>
      </w:pPr>
      <w:r>
        <w:rPr>
          <w:rFonts w:hint="eastAsia" w:ascii="仿宋_GB2312" w:hAnsi="仿宋_GB2312" w:eastAsia="仿宋_GB2312" w:cs="仿宋_GB2312"/>
          <w:b w:val="0"/>
          <w:color w:val="auto"/>
          <w:sz w:val="32"/>
          <w:szCs w:val="32"/>
          <w:highlight w:val="none"/>
          <w:lang w:eastAsia="zh-CN"/>
        </w:rPr>
        <w:t>《突发事件应急预案管理办法》</w:t>
      </w:r>
    </w:p>
    <w:p w14:paraId="7B671BB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color w:val="auto"/>
          <w:sz w:val="32"/>
          <w:szCs w:val="32"/>
          <w:highlight w:val="none"/>
          <w:lang w:eastAsia="zh-CN"/>
        </w:rPr>
      </w:pPr>
      <w:r>
        <w:rPr>
          <w:rFonts w:hint="eastAsia" w:ascii="仿宋_GB2312" w:hAnsi="仿宋_GB2312" w:eastAsia="仿宋_GB2312" w:cs="仿宋_GB2312"/>
          <w:b w:val="0"/>
          <w:color w:val="auto"/>
          <w:sz w:val="32"/>
          <w:szCs w:val="32"/>
          <w:highlight w:val="none"/>
          <w:lang w:eastAsia="zh-CN"/>
        </w:rPr>
        <w:t>《关于建立放射性同位素与射线装置辐射事故分级处理和</w:t>
      </w:r>
    </w:p>
    <w:p w14:paraId="187F07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highlight w:val="none"/>
          <w:lang w:eastAsia="zh-CN"/>
        </w:rPr>
      </w:pPr>
      <w:r>
        <w:rPr>
          <w:rFonts w:hint="eastAsia" w:ascii="仿宋_GB2312" w:hAnsi="仿宋_GB2312" w:eastAsia="仿宋_GB2312" w:cs="仿宋_GB2312"/>
          <w:b w:val="0"/>
          <w:color w:val="auto"/>
          <w:sz w:val="32"/>
          <w:szCs w:val="32"/>
          <w:highlight w:val="none"/>
          <w:lang w:eastAsia="zh-CN"/>
        </w:rPr>
        <w:t>报告制度的通知》</w:t>
      </w:r>
    </w:p>
    <w:p w14:paraId="6FB61DE8">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color w:val="auto"/>
          <w:lang w:eastAsia="zh-CN"/>
        </w:rPr>
      </w:pPr>
      <w:r>
        <w:rPr>
          <w:rFonts w:hint="eastAsia" w:ascii="仿宋_GB2312" w:hAnsi="仿宋_GB2312" w:eastAsia="仿宋_GB2312" w:cs="仿宋_GB2312"/>
          <w:b w:val="0"/>
          <w:color w:val="auto"/>
          <w:sz w:val="32"/>
          <w:szCs w:val="32"/>
          <w:highlight w:val="none"/>
          <w:lang w:eastAsia="zh-CN"/>
        </w:rPr>
        <w:t>《惠州市辐射事故应急预案》</w:t>
      </w:r>
    </w:p>
    <w:p w14:paraId="32FAC3E7">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color w:val="FF0000"/>
          <w:sz w:val="32"/>
          <w:szCs w:val="32"/>
          <w:lang w:eastAsia="zh-CN"/>
        </w:rPr>
      </w:pPr>
      <w:r>
        <w:rPr>
          <w:rFonts w:hint="eastAsia" w:ascii="仿宋_GB2312" w:hAnsi="仿宋_GB2312" w:eastAsia="仿宋_GB2312" w:cs="仿宋_GB2312"/>
          <w:b w:val="0"/>
          <w:color w:val="auto"/>
          <w:sz w:val="32"/>
          <w:szCs w:val="32"/>
          <w:highlight w:val="none"/>
          <w:lang w:eastAsia="zh-CN"/>
        </w:rPr>
        <w:t>《大亚湾区突发公共卫生事件应急预案》</w:t>
      </w:r>
    </w:p>
    <w:p w14:paraId="44C1F4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b w:val="0"/>
          <w:color w:val="auto"/>
          <w:sz w:val="32"/>
          <w:szCs w:val="32"/>
          <w:lang w:eastAsia="zh-CN"/>
        </w:rPr>
      </w:pPr>
      <w:bookmarkStart w:id="9" w:name="_Toc17229"/>
      <w:r>
        <w:rPr>
          <w:rFonts w:hint="eastAsia" w:ascii="楷体" w:hAnsi="楷体" w:eastAsia="楷体" w:cs="楷体"/>
          <w:b w:val="0"/>
          <w:color w:val="auto"/>
          <w:sz w:val="32"/>
          <w:szCs w:val="32"/>
          <w:lang w:eastAsia="zh-CN"/>
        </w:rPr>
        <w:t>（三）适用范围</w:t>
      </w:r>
      <w:bookmarkEnd w:id="9"/>
    </w:p>
    <w:p w14:paraId="23B912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eastAsia="zh-CN"/>
        </w:rPr>
        <w:t>适用于惠州大亚湾区辐射事故的应急准备与响应。</w:t>
      </w:r>
    </w:p>
    <w:p w14:paraId="2ACF79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eastAsia="zh-CN"/>
        </w:rPr>
        <w:t>主要包括：</w:t>
      </w:r>
    </w:p>
    <w:p w14:paraId="65A5B7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val="en-US" w:eastAsia="zh-CN"/>
        </w:rPr>
        <w:t>1.</w:t>
      </w:r>
      <w:r>
        <w:rPr>
          <w:rFonts w:hint="eastAsia" w:ascii="仿宋_GB2312" w:hAnsi="仿宋_GB2312" w:eastAsia="仿宋_GB2312" w:cs="仿宋_GB2312"/>
          <w:b w:val="0"/>
          <w:color w:val="auto"/>
          <w:sz w:val="32"/>
          <w:szCs w:val="32"/>
          <w:lang w:eastAsia="zh-CN"/>
        </w:rPr>
        <w:t>放射源、放射性物质丢失、被盗、失控以及造成环境放射性污染事故、射线装置运行失控导致人员超剂量受照事故；</w:t>
      </w:r>
    </w:p>
    <w:p w14:paraId="462E69E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val="en-US" w:eastAsia="zh-CN"/>
        </w:rPr>
        <w:t>2.</w:t>
      </w:r>
      <w:r>
        <w:rPr>
          <w:rFonts w:hint="eastAsia" w:ascii="仿宋_GB2312" w:hAnsi="仿宋_GB2312" w:eastAsia="仿宋_GB2312" w:cs="仿宋_GB2312"/>
          <w:b w:val="0"/>
          <w:color w:val="auto"/>
          <w:sz w:val="32"/>
          <w:szCs w:val="32"/>
          <w:lang w:eastAsia="zh-CN"/>
        </w:rPr>
        <w:t>放射性废物处理、处置设施发生的辐射事故；</w:t>
      </w:r>
    </w:p>
    <w:p w14:paraId="432DC6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val="en-US" w:eastAsia="zh-CN"/>
        </w:rPr>
        <w:t>3.</w:t>
      </w:r>
      <w:r>
        <w:rPr>
          <w:rFonts w:hint="eastAsia" w:ascii="仿宋_GB2312" w:hAnsi="仿宋_GB2312" w:eastAsia="仿宋_GB2312" w:cs="仿宋_GB2312"/>
          <w:b w:val="0"/>
          <w:color w:val="auto"/>
          <w:sz w:val="32"/>
          <w:szCs w:val="32"/>
          <w:lang w:eastAsia="zh-CN"/>
        </w:rPr>
        <w:t>放射性物质运输中发生的事故；</w:t>
      </w:r>
    </w:p>
    <w:p w14:paraId="1D72C5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val="en-US" w:eastAsia="zh-CN"/>
        </w:rPr>
        <w:t>4.</w:t>
      </w:r>
      <w:r>
        <w:rPr>
          <w:rFonts w:hint="eastAsia" w:ascii="仿宋_GB2312" w:hAnsi="仿宋_GB2312" w:eastAsia="仿宋_GB2312" w:cs="仿宋_GB2312"/>
          <w:b w:val="0"/>
          <w:color w:val="auto"/>
          <w:sz w:val="32"/>
          <w:szCs w:val="32"/>
          <w:lang w:eastAsia="zh-CN"/>
        </w:rPr>
        <w:t>可能对我区环境造成辐射影响的区外辐射事故；</w:t>
      </w:r>
    </w:p>
    <w:p w14:paraId="2687A9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val="en-US" w:eastAsia="zh-CN"/>
        </w:rPr>
        <w:t>5.</w:t>
      </w:r>
      <w:r>
        <w:rPr>
          <w:rFonts w:hint="eastAsia" w:ascii="仿宋_GB2312" w:hAnsi="仿宋_GB2312" w:eastAsia="仿宋_GB2312" w:cs="仿宋_GB2312"/>
          <w:b w:val="0"/>
          <w:color w:val="auto"/>
          <w:sz w:val="32"/>
          <w:szCs w:val="32"/>
          <w:lang w:eastAsia="zh-CN"/>
        </w:rPr>
        <w:t>各种灾害引发的次生辐射事故。</w:t>
      </w:r>
    </w:p>
    <w:p w14:paraId="64D6F5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b w:val="0"/>
          <w:color w:val="auto"/>
          <w:sz w:val="32"/>
          <w:szCs w:val="32"/>
          <w:lang w:eastAsia="zh-CN"/>
        </w:rPr>
      </w:pPr>
      <w:bookmarkStart w:id="10" w:name="_Toc3659"/>
      <w:r>
        <w:rPr>
          <w:rFonts w:hint="eastAsia" w:ascii="楷体" w:hAnsi="楷体" w:eastAsia="楷体" w:cs="楷体"/>
          <w:b w:val="0"/>
          <w:color w:val="auto"/>
          <w:sz w:val="32"/>
          <w:szCs w:val="32"/>
          <w:lang w:eastAsia="zh-CN"/>
        </w:rPr>
        <w:t>（四）工作原则</w:t>
      </w:r>
      <w:bookmarkEnd w:id="10"/>
    </w:p>
    <w:p w14:paraId="302123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eastAsia="zh-CN"/>
        </w:rPr>
        <w:t>按照统筹规划，积极兼容，常备不懈，统一指挥，大力协同，保护公众，保护环境的方针，坚持以人为本、预防为主，统一领导、分类管理，属地为主、分级响应的原则，充分利用现有资源，及时高效处理突发辐射事故。</w:t>
      </w:r>
    </w:p>
    <w:p w14:paraId="63720F40">
      <w:pPr>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s="仿宋_GB2312"/>
          <w:b w:val="0"/>
          <w:color w:val="auto"/>
          <w:sz w:val="32"/>
          <w:szCs w:val="32"/>
          <w:lang w:eastAsia="zh-CN"/>
        </w:rPr>
        <w:br w:type="page"/>
      </w:r>
    </w:p>
    <w:p w14:paraId="03C7D2B1">
      <w:pPr>
        <w:pStyle w:val="3"/>
        <w:spacing w:before="0" w:beforeLines="0" w:after="0" w:afterLines="0" w:line="520" w:lineRule="exact"/>
        <w:rPr>
          <w:rFonts w:hint="eastAsia" w:ascii="黑体" w:hAnsi="黑体" w:eastAsia="黑体" w:cs="黑体"/>
          <w:b w:val="0"/>
          <w:bCs w:val="0"/>
          <w:sz w:val="32"/>
          <w:szCs w:val="32"/>
        </w:rPr>
      </w:pPr>
      <w:bookmarkStart w:id="11" w:name="_Toc13105"/>
      <w:bookmarkStart w:id="12" w:name="_Toc3870"/>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应急机构和职责分工</w:t>
      </w:r>
      <w:bookmarkEnd w:id="11"/>
      <w:bookmarkEnd w:id="12"/>
    </w:p>
    <w:p w14:paraId="31F7D53F">
      <w:pPr>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惠州大亚湾</w:t>
      </w:r>
      <w:r>
        <w:rPr>
          <w:rFonts w:hint="eastAsia" w:ascii="仿宋_GB2312" w:hAnsi="仿宋_GB2312" w:eastAsia="仿宋_GB2312" w:cs="仿宋_GB2312"/>
          <w:color w:val="auto"/>
          <w:sz w:val="32"/>
          <w:szCs w:val="32"/>
          <w:lang w:eastAsia="zh-CN"/>
        </w:rPr>
        <w:t>开发</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辐射</w:t>
      </w:r>
      <w:r>
        <w:rPr>
          <w:rFonts w:hint="eastAsia" w:ascii="仿宋_GB2312" w:hAnsi="仿宋_GB2312" w:eastAsia="仿宋_GB2312" w:cs="仿宋_GB2312"/>
          <w:color w:val="auto"/>
          <w:sz w:val="32"/>
          <w:szCs w:val="32"/>
        </w:rPr>
        <w:t>事故应急领导小组（以下简称</w:t>
      </w:r>
      <w:r>
        <w:rPr>
          <w:rFonts w:hint="eastAsia" w:ascii="仿宋_GB2312" w:hAnsi="仿宋_GB2312" w:eastAsia="仿宋_GB2312" w:cs="仿宋_GB2312"/>
          <w:color w:val="auto"/>
          <w:sz w:val="32"/>
          <w:szCs w:val="32"/>
          <w:lang w:eastAsia="zh-CN"/>
        </w:rPr>
        <w:t>辐射事故</w:t>
      </w:r>
      <w:r>
        <w:rPr>
          <w:rFonts w:hint="eastAsia" w:ascii="仿宋_GB2312" w:hAnsi="仿宋_GB2312" w:eastAsia="仿宋_GB2312" w:cs="仿宋_GB2312"/>
          <w:color w:val="auto"/>
          <w:sz w:val="32"/>
          <w:szCs w:val="32"/>
        </w:rPr>
        <w:t>应急领导小组）作为</w:t>
      </w:r>
      <w:r>
        <w:rPr>
          <w:rFonts w:hint="eastAsia" w:ascii="仿宋_GB2312" w:hAnsi="仿宋_GB2312" w:eastAsia="仿宋_GB2312" w:cs="仿宋_GB2312"/>
          <w:color w:val="auto"/>
          <w:sz w:val="32"/>
          <w:szCs w:val="32"/>
          <w:lang w:eastAsia="zh-CN"/>
        </w:rPr>
        <w:t>辐射</w:t>
      </w:r>
      <w:r>
        <w:rPr>
          <w:rFonts w:hint="eastAsia" w:ascii="仿宋_GB2312" w:hAnsi="仿宋_GB2312" w:eastAsia="仿宋_GB2312" w:cs="仿宋_GB2312"/>
          <w:color w:val="auto"/>
          <w:sz w:val="32"/>
          <w:szCs w:val="32"/>
        </w:rPr>
        <w:t>事故应急总指挥，</w:t>
      </w:r>
      <w:r>
        <w:rPr>
          <w:rFonts w:hint="eastAsia" w:ascii="仿宋_GB2312" w:hAnsi="仿宋_GB2312" w:eastAsia="仿宋_GB2312" w:cs="仿宋_GB2312"/>
          <w:color w:val="auto"/>
          <w:sz w:val="32"/>
          <w:szCs w:val="32"/>
          <w:lang w:eastAsia="zh-CN"/>
        </w:rPr>
        <w:t>辐射事故</w:t>
      </w:r>
      <w:r>
        <w:rPr>
          <w:rFonts w:hint="eastAsia" w:ascii="仿宋_GB2312" w:hAnsi="仿宋_GB2312" w:eastAsia="仿宋_GB2312" w:cs="仿宋_GB2312"/>
          <w:color w:val="auto"/>
          <w:sz w:val="32"/>
          <w:szCs w:val="32"/>
        </w:rPr>
        <w:t>应急领导小组成员根据最新人员变动情况及时调整更新，确保专人专岗、职责清晰。</w:t>
      </w:r>
      <w:r>
        <w:rPr>
          <w:rFonts w:hint="eastAsia" w:ascii="仿宋_GB2312" w:hAnsi="仿宋_GB2312" w:eastAsia="仿宋_GB2312" w:cs="仿宋_GB2312"/>
          <w:color w:val="auto"/>
          <w:sz w:val="32"/>
          <w:szCs w:val="32"/>
          <w:lang w:eastAsia="zh-CN"/>
        </w:rPr>
        <w:t>辐射事故</w:t>
      </w:r>
      <w:r>
        <w:rPr>
          <w:rFonts w:hint="eastAsia" w:ascii="仿宋_GB2312" w:hAnsi="仿宋_GB2312" w:eastAsia="仿宋_GB2312" w:cs="仿宋_GB2312"/>
          <w:color w:val="auto"/>
          <w:sz w:val="32"/>
          <w:szCs w:val="32"/>
        </w:rPr>
        <w:t>应急领导小组由区管委会分管领导任组长，区综合办公室分管副主任、区应急管理</w:t>
      </w:r>
      <w:r>
        <w:rPr>
          <w:rFonts w:hint="eastAsia" w:ascii="仿宋_GB2312" w:hAnsi="仿宋_GB2312" w:eastAsia="仿宋_GB2312" w:cs="仿宋_GB2312"/>
          <w:color w:val="auto"/>
          <w:sz w:val="32"/>
          <w:szCs w:val="32"/>
          <w:lang w:val="en-US" w:eastAsia="zh-CN"/>
        </w:rPr>
        <w:t>局局长</w:t>
      </w:r>
      <w:r>
        <w:rPr>
          <w:rFonts w:hint="eastAsia" w:ascii="仿宋_GB2312" w:hAnsi="仿宋_GB2312" w:eastAsia="仿宋_GB2312" w:cs="仿宋_GB2312"/>
          <w:color w:val="auto"/>
          <w:sz w:val="32"/>
          <w:szCs w:val="32"/>
        </w:rPr>
        <w:t>、区生态环境分局局长任副组长，成员由</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综合办公室（宣传统战办公室）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区经济发展和统计局、区教育文化卫生健康局、区公安分局、区财政国资金融局、区</w:t>
      </w:r>
      <w:r>
        <w:rPr>
          <w:rFonts w:hint="eastAsia" w:ascii="仿宋_GB2312" w:hAnsi="仿宋_GB2312" w:eastAsia="仿宋_GB2312" w:cs="仿宋_GB2312"/>
          <w:color w:val="auto"/>
          <w:sz w:val="32"/>
          <w:szCs w:val="32"/>
          <w:lang w:eastAsia="zh-CN"/>
        </w:rPr>
        <w:t>自然资源分局、</w:t>
      </w:r>
      <w:r>
        <w:rPr>
          <w:rFonts w:hint="eastAsia" w:ascii="仿宋_GB2312" w:hAnsi="仿宋_GB2312" w:eastAsia="仿宋_GB2312" w:cs="仿宋_GB2312"/>
          <w:color w:val="auto"/>
          <w:sz w:val="32"/>
          <w:szCs w:val="32"/>
        </w:rPr>
        <w:t>区生态环境分局、区城乡建设和综合执法局、区交通运输和海洋经济局、区社会事务管理局、区应急管理局、</w:t>
      </w:r>
      <w:r>
        <w:rPr>
          <w:rFonts w:hint="eastAsia" w:ascii="仿宋_GB2312" w:hAnsi="仿宋_GB2312" w:eastAsia="仿宋_GB2312" w:cs="仿宋_GB2312"/>
          <w:color w:val="auto"/>
          <w:sz w:val="32"/>
          <w:szCs w:val="32"/>
          <w:lang w:eastAsia="zh-CN"/>
        </w:rPr>
        <w:t>区市场监督管理局、区石化能源产业局、</w:t>
      </w:r>
      <w:r>
        <w:rPr>
          <w:rFonts w:hint="eastAsia" w:ascii="仿宋_GB2312" w:hAnsi="仿宋_GB2312" w:eastAsia="仿宋_GB2312" w:cs="仿宋_GB2312"/>
          <w:color w:val="auto"/>
          <w:sz w:val="32"/>
          <w:szCs w:val="32"/>
        </w:rPr>
        <w:t>区消防</w:t>
      </w:r>
      <w:r>
        <w:rPr>
          <w:rFonts w:hint="eastAsia" w:ascii="仿宋_GB2312" w:hAnsi="仿宋_GB2312" w:eastAsia="仿宋_GB2312" w:cs="仿宋_GB2312"/>
          <w:color w:val="auto"/>
          <w:sz w:val="32"/>
          <w:szCs w:val="32"/>
          <w:lang w:eastAsia="zh-CN"/>
        </w:rPr>
        <w:t>救援</w:t>
      </w:r>
      <w:r>
        <w:rPr>
          <w:rFonts w:hint="eastAsia" w:ascii="仿宋_GB2312" w:hAnsi="仿宋_GB2312" w:eastAsia="仿宋_GB2312" w:cs="仿宋_GB2312"/>
          <w:color w:val="auto"/>
          <w:sz w:val="32"/>
          <w:szCs w:val="32"/>
        </w:rPr>
        <w:t>大队、区供电局、澳头街道办事处、西区街道办事处、霞涌街道办事处等单位组成。</w:t>
      </w:r>
    </w:p>
    <w:p w14:paraId="4D8C5A5A">
      <w:pPr>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在区</w:t>
      </w:r>
      <w:r>
        <w:rPr>
          <w:rFonts w:hint="eastAsia" w:ascii="仿宋_GB2312" w:hAnsi="仿宋_GB2312" w:eastAsia="仿宋_GB2312" w:cs="仿宋_GB2312"/>
          <w:color w:val="auto"/>
          <w:sz w:val="32"/>
          <w:szCs w:val="32"/>
          <w:lang w:eastAsia="zh-CN"/>
        </w:rPr>
        <w:t>生态环境分</w:t>
      </w:r>
      <w:r>
        <w:rPr>
          <w:rFonts w:hint="eastAsia" w:ascii="仿宋_GB2312" w:hAnsi="仿宋_GB2312" w:eastAsia="仿宋_GB2312" w:cs="仿宋_GB2312"/>
          <w:color w:val="auto"/>
          <w:sz w:val="32"/>
          <w:szCs w:val="32"/>
        </w:rPr>
        <w:t>局设置日常办公室，区</w:t>
      </w:r>
      <w:r>
        <w:rPr>
          <w:rFonts w:hint="eastAsia" w:ascii="仿宋_GB2312" w:hAnsi="仿宋_GB2312" w:eastAsia="仿宋_GB2312" w:cs="仿宋_GB2312"/>
          <w:color w:val="auto"/>
          <w:sz w:val="32"/>
          <w:szCs w:val="32"/>
          <w:lang w:eastAsia="zh-CN"/>
        </w:rPr>
        <w:t>生态环境分</w:t>
      </w:r>
      <w:r>
        <w:rPr>
          <w:rFonts w:hint="eastAsia" w:ascii="仿宋_GB2312" w:hAnsi="仿宋_GB2312" w:eastAsia="仿宋_GB2312" w:cs="仿宋_GB2312"/>
          <w:color w:val="auto"/>
          <w:sz w:val="32"/>
          <w:szCs w:val="32"/>
        </w:rPr>
        <w:t>局负责日常工作。应急支持保障部门由区综合办公室（宣传统战办公室）、区经济发展和统计局、区教育文化卫生健康局、区公安分局、区财政国资金融局</w:t>
      </w:r>
      <w:r>
        <w:rPr>
          <w:rFonts w:hint="eastAsia" w:ascii="仿宋_GB2312" w:hAnsi="仿宋_GB2312" w:eastAsia="仿宋_GB2312" w:cs="仿宋_GB2312"/>
          <w:color w:val="auto"/>
          <w:sz w:val="32"/>
          <w:szCs w:val="32"/>
          <w:lang w:eastAsia="zh-CN"/>
        </w:rPr>
        <w:t>、区自然资源分局</w:t>
      </w:r>
      <w:r>
        <w:rPr>
          <w:rFonts w:hint="eastAsia" w:ascii="仿宋_GB2312" w:hAnsi="仿宋_GB2312" w:eastAsia="仿宋_GB2312" w:cs="仿宋_GB2312"/>
          <w:color w:val="auto"/>
          <w:sz w:val="32"/>
          <w:szCs w:val="32"/>
        </w:rPr>
        <w:t>、区城乡建设和综合执法局、区交通运输和海洋经济局、区社会事务管理局、区应急管理局、区市场监督管理局、区石化能源产业局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区消防救援大队</w:t>
      </w:r>
      <w:r>
        <w:rPr>
          <w:rFonts w:hint="eastAsia" w:ascii="仿宋_GB2312" w:hAnsi="仿宋_GB2312" w:eastAsia="仿宋_GB2312" w:cs="仿宋_GB2312"/>
          <w:color w:val="auto"/>
          <w:sz w:val="32"/>
          <w:szCs w:val="32"/>
        </w:rPr>
        <w:t>、区供电局</w:t>
      </w:r>
      <w:r>
        <w:rPr>
          <w:rFonts w:hint="eastAsia" w:ascii="仿宋_GB2312" w:hAnsi="仿宋_GB2312" w:eastAsia="仿宋_GB2312" w:cs="仿宋_GB2312"/>
          <w:color w:val="auto"/>
          <w:sz w:val="32"/>
          <w:szCs w:val="32"/>
          <w:lang w:eastAsia="zh-CN"/>
        </w:rPr>
        <w:t>、各街道办</w:t>
      </w:r>
      <w:r>
        <w:rPr>
          <w:rFonts w:hint="eastAsia" w:ascii="仿宋_GB2312" w:hAnsi="仿宋_GB2312" w:eastAsia="仿宋_GB2312" w:cs="仿宋_GB2312"/>
          <w:color w:val="auto"/>
          <w:sz w:val="32"/>
          <w:szCs w:val="32"/>
        </w:rPr>
        <w:t>等有关单位组成。各成员单位在办公室统一领导、指挥下，按照职责分工做好相应的辐射事故应急工作。</w:t>
      </w:r>
    </w:p>
    <w:p w14:paraId="62D08F60">
      <w:pPr>
        <w:pStyle w:val="4"/>
        <w:spacing w:before="0" w:beforeLines="0" w:after="0" w:afterLines="0" w:line="520" w:lineRule="exact"/>
        <w:ind w:firstLine="640" w:firstLineChars="200"/>
        <w:outlineLvl w:val="1"/>
        <w:rPr>
          <w:rFonts w:hint="eastAsia" w:ascii="楷体" w:hAnsi="楷体" w:eastAsia="楷体" w:cs="楷体"/>
          <w:b w:val="0"/>
          <w:bCs w:val="0"/>
          <w:sz w:val="32"/>
          <w:szCs w:val="32"/>
        </w:rPr>
      </w:pPr>
      <w:bookmarkStart w:id="13" w:name="_Toc32401"/>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rPr>
        <w:t>区辐射事故应急领导小组职责</w:t>
      </w:r>
      <w:bookmarkEnd w:id="13"/>
    </w:p>
    <w:p w14:paraId="0DE2BF5C">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执行国家有关法律法规及市应急领导机构的指示；</w:t>
      </w:r>
    </w:p>
    <w:p w14:paraId="0D6AD22F">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当区内发生特别重大、重大、较大辐射事故、跨县（区）区域辐射事故时，在国家、省和市辐射事故应急领导小组的指挥下实施应急响应。在发生一般辐射事故时，领导、协调和调动社会力量及各种资源，组织突发辐射事故的应急处理，决定启动或终止应急状态，具体组织、安排事故的应急响应和调查；</w:t>
      </w:r>
    </w:p>
    <w:p w14:paraId="6AEA3E93">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统一指导区内有关辐射事故的新闻和信息发布、舆情应对工作；</w:t>
      </w:r>
    </w:p>
    <w:p w14:paraId="6E403C15">
      <w:pPr>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与相关县（区）的联络工作</w:t>
      </w:r>
      <w:r>
        <w:rPr>
          <w:rFonts w:hint="eastAsia" w:ascii="仿宋_GB2312" w:hAnsi="仿宋_GB2312" w:eastAsia="仿宋_GB2312" w:cs="仿宋_GB2312"/>
          <w:sz w:val="32"/>
          <w:szCs w:val="32"/>
          <w:lang w:eastAsia="zh-CN"/>
        </w:rPr>
        <w:t>；</w:t>
      </w:r>
    </w:p>
    <w:p w14:paraId="794A97C7">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向市政府及有关部门或相关县（区）申请支援。</w:t>
      </w:r>
    </w:p>
    <w:p w14:paraId="56772236">
      <w:pPr>
        <w:pStyle w:val="4"/>
        <w:spacing w:before="0" w:beforeLines="0" w:after="0" w:afterLines="0" w:line="520" w:lineRule="exact"/>
        <w:ind w:firstLine="640" w:firstLineChars="200"/>
        <w:outlineLvl w:val="1"/>
        <w:rPr>
          <w:rFonts w:hint="eastAsia" w:ascii="楷体" w:hAnsi="楷体" w:eastAsia="楷体" w:cs="楷体"/>
          <w:b w:val="0"/>
          <w:bCs w:val="0"/>
          <w:sz w:val="32"/>
          <w:szCs w:val="32"/>
        </w:rPr>
      </w:pPr>
      <w:bookmarkStart w:id="14" w:name="_Toc19241"/>
      <w:r>
        <w:rPr>
          <w:rFonts w:hint="eastAsia" w:ascii="楷体" w:hAnsi="楷体" w:eastAsia="楷体" w:cs="楷体"/>
          <w:b w:val="0"/>
          <w:bCs w:val="0"/>
          <w:sz w:val="32"/>
          <w:szCs w:val="32"/>
          <w:lang w:val="en-US" w:eastAsia="zh-CN"/>
        </w:rPr>
        <w:t>（二）</w:t>
      </w:r>
      <w:r>
        <w:rPr>
          <w:rFonts w:hint="eastAsia" w:ascii="楷体" w:hAnsi="楷体" w:eastAsia="楷体" w:cs="楷体"/>
          <w:b w:val="0"/>
          <w:bCs w:val="0"/>
          <w:sz w:val="32"/>
          <w:szCs w:val="32"/>
        </w:rPr>
        <w:t>区辐射事故领导小组办公室职责</w:t>
      </w:r>
      <w:bookmarkEnd w:id="14"/>
    </w:p>
    <w:p w14:paraId="40753258">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贯彻执行国家、省、市政府和区管委会有关应急工作的方针、政策，认真落实有关环境应急工作指示和要求；</w:t>
      </w:r>
    </w:p>
    <w:p w14:paraId="42A01424">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建立和完善环境应急预警机制，组织制定（修订）区辐射事故应急预案；</w:t>
      </w:r>
    </w:p>
    <w:p w14:paraId="54F136E2">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负责办公室的日常工作和应急值守；</w:t>
      </w:r>
    </w:p>
    <w:p w14:paraId="1821959D">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统一协调辐射事故的应急救援工作，协调区综合办公室（宣传统战办公室）组织应急事故的信息发布与报送工作；</w:t>
      </w:r>
    </w:p>
    <w:p w14:paraId="5981A48E">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指导各街道办及其有关部门做好辐射事故应急工作；</w:t>
      </w:r>
    </w:p>
    <w:p w14:paraId="56EC5749">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完成区管委会下达的其他应急救援任务。</w:t>
      </w:r>
    </w:p>
    <w:p w14:paraId="71A527CE">
      <w:pPr>
        <w:pStyle w:val="4"/>
        <w:spacing w:before="0" w:beforeLines="0" w:after="0" w:afterLines="0" w:line="240" w:lineRule="auto"/>
        <w:ind w:firstLine="0" w:firstLineChars="0"/>
        <w:rPr>
          <w:rFonts w:hint="eastAsia" w:ascii="楷体" w:hAnsi="楷体" w:eastAsia="楷体" w:cs="楷体"/>
          <w:b w:val="0"/>
          <w:bCs w:val="0"/>
        </w:rPr>
      </w:pPr>
      <w:bookmarkStart w:id="15" w:name="_Toc617"/>
      <w:bookmarkStart w:id="16" w:name="_Toc262"/>
      <w:bookmarkStart w:id="17" w:name="_Toc15052"/>
      <w:bookmarkStart w:id="18" w:name="_Toc432493611"/>
      <w:r>
        <w:rPr>
          <w:rFonts w:hint="eastAsia" w:ascii="楷体" w:hAnsi="楷体" w:eastAsia="楷体" w:cs="楷体"/>
          <w:b w:val="0"/>
          <w:bCs w:val="0"/>
          <w:lang w:eastAsia="zh-CN"/>
        </w:rPr>
        <w:t>（</w:t>
      </w:r>
      <w:r>
        <w:rPr>
          <w:rFonts w:hint="eastAsia" w:ascii="楷体" w:hAnsi="楷体" w:eastAsia="楷体" w:cs="楷体"/>
          <w:b w:val="0"/>
          <w:bCs w:val="0"/>
          <w:lang w:val="en-US" w:eastAsia="zh-CN"/>
        </w:rPr>
        <w:t>三</w:t>
      </w:r>
      <w:r>
        <w:rPr>
          <w:rFonts w:hint="eastAsia" w:ascii="楷体" w:hAnsi="楷体" w:eastAsia="楷体" w:cs="楷体"/>
          <w:b w:val="0"/>
          <w:bCs w:val="0"/>
          <w:lang w:eastAsia="zh-CN"/>
        </w:rPr>
        <w:t>）</w:t>
      </w:r>
      <w:r>
        <w:rPr>
          <w:rFonts w:hint="eastAsia" w:ascii="楷体" w:hAnsi="楷体" w:eastAsia="楷体" w:cs="楷体"/>
          <w:b w:val="0"/>
          <w:bCs w:val="0"/>
        </w:rPr>
        <w:t>区辐射事故应急领导小组成员职责</w:t>
      </w:r>
      <w:bookmarkEnd w:id="15"/>
      <w:bookmarkEnd w:id="16"/>
      <w:bookmarkEnd w:id="17"/>
      <w:bookmarkEnd w:id="18"/>
    </w:p>
    <w:p w14:paraId="39832AC6">
      <w:pPr>
        <w:pStyle w:val="5"/>
        <w:spacing w:before="0" w:beforeLines="0" w:after="0" w:afterLines="0" w:line="520" w:lineRule="exact"/>
        <w:ind w:firstLine="640" w:firstLineChars="200"/>
        <w:rPr>
          <w:rFonts w:hint="eastAsia" w:ascii="仿宋_GB2312" w:hAnsi="仿宋_GB2312" w:eastAsia="仿宋_GB2312" w:cs="仿宋_GB2312"/>
          <w:b w:val="0"/>
          <w:szCs w:val="32"/>
        </w:rPr>
      </w:pPr>
      <w:bookmarkStart w:id="19" w:name="_Toc31448"/>
      <w:bookmarkStart w:id="20" w:name="_Toc29695"/>
      <w:bookmarkStart w:id="21" w:name="_Toc5337"/>
      <w:bookmarkStart w:id="22" w:name="_Toc2046"/>
      <w:bookmarkStart w:id="23" w:name="_Toc18950"/>
      <w:bookmarkStart w:id="24" w:name="_Toc22708"/>
      <w:bookmarkStart w:id="25" w:name="_Toc1142"/>
      <w:r>
        <w:rPr>
          <w:rFonts w:hint="eastAsia" w:ascii="仿宋_GB2312" w:hAnsi="仿宋_GB2312" w:eastAsia="仿宋_GB2312" w:cs="仿宋_GB2312"/>
          <w:b w:val="0"/>
          <w:bCs/>
          <w:szCs w:val="32"/>
          <w:lang w:val="en-US" w:eastAsia="zh-CN"/>
        </w:rPr>
        <w:t>1.</w:t>
      </w:r>
      <w:bookmarkEnd w:id="19"/>
      <w:bookmarkEnd w:id="20"/>
      <w:bookmarkEnd w:id="21"/>
      <w:r>
        <w:rPr>
          <w:rFonts w:hint="eastAsia" w:ascii="仿宋_GB2312" w:hAnsi="仿宋_GB2312" w:eastAsia="仿宋_GB2312" w:cs="仿宋_GB2312"/>
          <w:b w:val="0"/>
          <w:szCs w:val="32"/>
        </w:rPr>
        <w:t>区综合办公室（宣传统战办公室）</w:t>
      </w:r>
      <w:bookmarkEnd w:id="22"/>
      <w:bookmarkEnd w:id="23"/>
    </w:p>
    <w:p w14:paraId="438DA4C6">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组织新闻媒体广泛开展科学知识宣传，坚持正确的舆论导向，消除群众的恐慌心理，营造有利于辐射事故应急处理的舆论氛围。</w:t>
      </w:r>
    </w:p>
    <w:p w14:paraId="0716F100">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负责辐射事故应急处置宣传报道、新闻发布的组织、协调工作，会同相关部门加强对新闻监管及网上舆论引导工作。</w:t>
      </w:r>
    </w:p>
    <w:p w14:paraId="1C2C399C">
      <w:pPr>
        <w:spacing w:line="520" w:lineRule="exact"/>
        <w:ind w:firstLine="640" w:firstLineChars="200"/>
        <w:outlineLvl w:val="2"/>
        <w:rPr>
          <w:rFonts w:hint="eastAsia" w:ascii="仿宋_GB2312" w:hAnsi="仿宋_GB2312" w:eastAsia="仿宋_GB2312" w:cs="仿宋_GB2312"/>
          <w:sz w:val="32"/>
          <w:szCs w:val="32"/>
          <w:lang w:val="en-US" w:eastAsia="zh-CN"/>
        </w:rPr>
      </w:pPr>
      <w:bookmarkStart w:id="26" w:name="_Toc32566"/>
      <w:bookmarkStart w:id="27" w:name="_Toc7624"/>
      <w:r>
        <w:rPr>
          <w:rFonts w:hint="eastAsia" w:ascii="仿宋_GB2312" w:hAnsi="仿宋_GB2312" w:eastAsia="仿宋_GB2312" w:cs="仿宋_GB2312"/>
          <w:sz w:val="32"/>
          <w:szCs w:val="32"/>
          <w:lang w:val="en-US" w:eastAsia="zh-CN"/>
        </w:rPr>
        <w:t>2.区经济发展和统计局</w:t>
      </w:r>
      <w:bookmarkEnd w:id="26"/>
      <w:bookmarkEnd w:id="27"/>
    </w:p>
    <w:p w14:paraId="6FF18D71">
      <w:pPr>
        <w:spacing w:line="520" w:lineRule="exact"/>
        <w:ind w:firstLine="640" w:firstLineChars="200"/>
        <w:rPr>
          <w:rFonts w:hint="default" w:ascii="仿宋_GB2312" w:hAnsi="仿宋_GB2312" w:eastAsia="仿宋_GB2312" w:cs="仿宋_GB2312"/>
          <w:color w:val="auto"/>
          <w:sz w:val="32"/>
          <w:szCs w:val="32"/>
          <w:highlight w:val="yellow"/>
          <w:lang w:val="en-US" w:eastAsia="zh-CN"/>
        </w:rPr>
      </w:pPr>
      <w:r>
        <w:rPr>
          <w:rFonts w:hint="default" w:ascii="仿宋_GB2312" w:hAnsi="仿宋_GB2312" w:eastAsia="仿宋_GB2312" w:cs="仿宋_GB2312"/>
          <w:color w:val="auto"/>
          <w:sz w:val="32"/>
          <w:szCs w:val="32"/>
          <w:lang w:val="en-US" w:eastAsia="zh-CN"/>
        </w:rPr>
        <w:t>根据救灾物资储备规划、品种目录和标准、年度购置计划，负责救灾物资的收储、轮换和日常管理，根据应急管理局的动用指令按程序组织调出。</w:t>
      </w:r>
    </w:p>
    <w:p w14:paraId="513B92DD">
      <w:pPr>
        <w:pStyle w:val="5"/>
        <w:spacing w:before="0" w:beforeLines="0" w:after="0" w:afterLines="0" w:line="520" w:lineRule="exact"/>
        <w:ind w:firstLine="640" w:firstLineChars="200"/>
        <w:rPr>
          <w:rFonts w:hint="eastAsia" w:ascii="仿宋_GB2312" w:hAnsi="仿宋_GB2312" w:eastAsia="仿宋_GB2312" w:cs="仿宋_GB2312"/>
          <w:b w:val="0"/>
          <w:szCs w:val="32"/>
        </w:rPr>
      </w:pPr>
      <w:bookmarkStart w:id="28" w:name="_Toc2725"/>
      <w:bookmarkStart w:id="29" w:name="_Toc5686"/>
      <w:bookmarkStart w:id="30" w:name="_Toc10208"/>
      <w:bookmarkStart w:id="31" w:name="_Toc15297"/>
      <w:bookmarkStart w:id="32" w:name="_Toc13184"/>
      <w:bookmarkStart w:id="33" w:name="_Toc6575"/>
      <w:bookmarkStart w:id="34" w:name="_Toc14589"/>
      <w:bookmarkStart w:id="35" w:name="_Toc26388"/>
      <w:bookmarkStart w:id="36" w:name="_Toc432493617"/>
      <w:r>
        <w:rPr>
          <w:rFonts w:hint="eastAsia" w:ascii="仿宋_GB2312" w:hAnsi="仿宋_GB2312" w:eastAsia="仿宋_GB2312" w:cs="仿宋_GB2312"/>
          <w:b w:val="0"/>
          <w:bCs/>
          <w:szCs w:val="32"/>
          <w:lang w:val="en-US" w:eastAsia="zh-CN"/>
        </w:rPr>
        <w:t>3.</w:t>
      </w:r>
      <w:r>
        <w:rPr>
          <w:rFonts w:hint="eastAsia" w:ascii="仿宋_GB2312" w:hAnsi="仿宋_GB2312" w:eastAsia="仿宋_GB2312" w:cs="仿宋_GB2312"/>
          <w:b w:val="0"/>
          <w:szCs w:val="32"/>
        </w:rPr>
        <w:t>区教育文化卫生健康局</w:t>
      </w:r>
      <w:bookmarkEnd w:id="28"/>
      <w:bookmarkEnd w:id="29"/>
    </w:p>
    <w:p w14:paraId="119C3452">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负责组织辐射职业病危害评估和辐射事故的医疗应急具体实施工作。</w:t>
      </w:r>
      <w:bookmarkEnd w:id="30"/>
      <w:bookmarkEnd w:id="31"/>
      <w:bookmarkEnd w:id="32"/>
      <w:bookmarkEnd w:id="33"/>
      <w:bookmarkEnd w:id="34"/>
      <w:bookmarkEnd w:id="35"/>
      <w:bookmarkEnd w:id="36"/>
    </w:p>
    <w:bookmarkEnd w:id="24"/>
    <w:bookmarkEnd w:id="25"/>
    <w:p w14:paraId="23C70EE6">
      <w:pPr>
        <w:pStyle w:val="5"/>
        <w:spacing w:before="0" w:beforeLines="0" w:after="0" w:afterLines="0" w:line="520" w:lineRule="exact"/>
        <w:ind w:firstLine="640" w:firstLineChars="200"/>
        <w:rPr>
          <w:rFonts w:hint="eastAsia" w:ascii="仿宋_GB2312" w:hAnsi="仿宋_GB2312" w:eastAsia="仿宋_GB2312" w:cs="仿宋_GB2312"/>
          <w:b w:val="0"/>
          <w:szCs w:val="32"/>
        </w:rPr>
      </w:pPr>
      <w:bookmarkStart w:id="37" w:name="_Toc5072"/>
      <w:bookmarkStart w:id="38" w:name="_Toc23534"/>
      <w:bookmarkStart w:id="39" w:name="_Toc4677"/>
      <w:bookmarkStart w:id="40" w:name="_Toc11392"/>
      <w:bookmarkStart w:id="41" w:name="_Toc432493614"/>
      <w:bookmarkStart w:id="42" w:name="_Toc16033"/>
      <w:bookmarkStart w:id="43" w:name="_Toc20141"/>
      <w:bookmarkStart w:id="44" w:name="_Toc2672"/>
      <w:bookmarkStart w:id="45" w:name="_Toc13791"/>
      <w:r>
        <w:rPr>
          <w:rFonts w:hint="eastAsia" w:ascii="仿宋_GB2312" w:hAnsi="仿宋_GB2312" w:eastAsia="仿宋_GB2312" w:cs="仿宋_GB2312"/>
          <w:b w:val="0"/>
          <w:bCs/>
          <w:szCs w:val="32"/>
          <w:lang w:val="en-US" w:eastAsia="zh-CN"/>
        </w:rPr>
        <w:t>4.</w:t>
      </w:r>
      <w:r>
        <w:rPr>
          <w:rFonts w:hint="eastAsia" w:ascii="仿宋_GB2312" w:hAnsi="仿宋_GB2312" w:eastAsia="仿宋_GB2312" w:cs="仿宋_GB2312"/>
          <w:b w:val="0"/>
          <w:szCs w:val="32"/>
        </w:rPr>
        <w:t>区公安</w:t>
      </w:r>
      <w:r>
        <w:rPr>
          <w:rFonts w:hint="eastAsia" w:ascii="仿宋_GB2312" w:hAnsi="仿宋_GB2312" w:eastAsia="仿宋_GB2312" w:cs="仿宋_GB2312"/>
          <w:b w:val="0"/>
          <w:szCs w:val="32"/>
          <w:lang w:eastAsia="zh-CN"/>
        </w:rPr>
        <w:t>分</w:t>
      </w:r>
      <w:r>
        <w:rPr>
          <w:rFonts w:hint="eastAsia" w:ascii="仿宋_GB2312" w:hAnsi="仿宋_GB2312" w:eastAsia="仿宋_GB2312" w:cs="仿宋_GB2312"/>
          <w:b w:val="0"/>
          <w:szCs w:val="32"/>
        </w:rPr>
        <w:t>局</w:t>
      </w:r>
      <w:bookmarkEnd w:id="37"/>
      <w:bookmarkEnd w:id="38"/>
    </w:p>
    <w:p w14:paraId="5C8F5E1D">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负责丢失、被盗放射源的立案侦查和追缴；负责对发生地和受污染区域的治安封锁、治安维护、交通管制、维护社会稳定、群众疏散、落实各项强制隔离措施等工作；防止和制止不明真相的人</w:t>
      </w:r>
      <w:r>
        <w:rPr>
          <w:rFonts w:hint="eastAsia" w:ascii="仿宋_GB2312" w:hAnsi="仿宋_GB2312" w:eastAsia="仿宋_GB2312" w:cs="仿宋_GB2312"/>
          <w:sz w:val="32"/>
          <w:szCs w:val="32"/>
          <w:lang w:eastAsia="zh-CN"/>
        </w:rPr>
        <w:t>传播谣言制造恐慌</w:t>
      </w:r>
      <w:r>
        <w:rPr>
          <w:rFonts w:hint="eastAsia" w:ascii="仿宋_GB2312" w:hAnsi="仿宋_GB2312" w:eastAsia="仿宋_GB2312" w:cs="仿宋_GB2312"/>
          <w:sz w:val="32"/>
          <w:szCs w:val="32"/>
        </w:rPr>
        <w:t>，确保事故发生点周围地区交通畅通。</w:t>
      </w:r>
      <w:bookmarkEnd w:id="39"/>
      <w:bookmarkEnd w:id="40"/>
      <w:bookmarkEnd w:id="41"/>
      <w:bookmarkEnd w:id="42"/>
      <w:bookmarkEnd w:id="43"/>
      <w:bookmarkEnd w:id="44"/>
      <w:bookmarkEnd w:id="45"/>
    </w:p>
    <w:p w14:paraId="7E36DC94">
      <w:pPr>
        <w:pStyle w:val="5"/>
        <w:spacing w:before="0" w:beforeLines="0" w:after="0" w:afterLines="0" w:line="520" w:lineRule="exact"/>
        <w:ind w:firstLine="640" w:firstLineChars="200"/>
        <w:rPr>
          <w:rFonts w:hint="eastAsia" w:ascii="仿宋_GB2312" w:hAnsi="仿宋_GB2312" w:eastAsia="仿宋_GB2312" w:cs="仿宋_GB2312"/>
          <w:b w:val="0"/>
          <w:szCs w:val="32"/>
        </w:rPr>
      </w:pPr>
      <w:bookmarkStart w:id="46" w:name="_Toc12407"/>
      <w:bookmarkStart w:id="47" w:name="_Toc10384"/>
      <w:r>
        <w:rPr>
          <w:rFonts w:hint="eastAsia" w:ascii="仿宋_GB2312" w:hAnsi="仿宋_GB2312" w:eastAsia="仿宋_GB2312" w:cs="仿宋_GB2312"/>
          <w:b w:val="0"/>
          <w:bCs/>
          <w:szCs w:val="32"/>
          <w:lang w:val="en-US" w:eastAsia="zh-CN"/>
        </w:rPr>
        <w:t>5.</w:t>
      </w:r>
      <w:r>
        <w:rPr>
          <w:rFonts w:hint="eastAsia" w:ascii="仿宋_GB2312" w:hAnsi="仿宋_GB2312" w:eastAsia="仿宋_GB2312" w:cs="仿宋_GB2312"/>
          <w:b w:val="0"/>
          <w:szCs w:val="32"/>
        </w:rPr>
        <w:t>区财政国资金融局</w:t>
      </w:r>
      <w:bookmarkEnd w:id="46"/>
      <w:bookmarkEnd w:id="47"/>
    </w:p>
    <w:p w14:paraId="2B403C93">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保证必要的经费支持与保障，确保突发辐射事故处置所需装备、器材等物资购买经费的供给。</w:t>
      </w:r>
    </w:p>
    <w:p w14:paraId="2814A727">
      <w:pPr>
        <w:pStyle w:val="2"/>
        <w:ind w:left="0" w:leftChars="0" w:firstLine="640" w:firstLineChars="200"/>
        <w:outlineLvl w:val="2"/>
        <w:rPr>
          <w:rFonts w:hint="eastAsia" w:ascii="仿宋_GB2312" w:hAnsi="仿宋_GB2312" w:eastAsia="仿宋_GB2312" w:cs="仿宋_GB2312"/>
          <w:sz w:val="32"/>
          <w:szCs w:val="32"/>
          <w:lang w:val="en-US" w:eastAsia="zh-CN"/>
        </w:rPr>
      </w:pPr>
      <w:bookmarkStart w:id="48" w:name="_Toc31678"/>
      <w:r>
        <w:rPr>
          <w:rFonts w:hint="eastAsia" w:ascii="仿宋_GB2312" w:hAnsi="仿宋_GB2312" w:eastAsia="仿宋_GB2312" w:cs="仿宋_GB2312"/>
          <w:sz w:val="32"/>
          <w:szCs w:val="32"/>
          <w:lang w:val="en-US" w:eastAsia="zh-CN"/>
        </w:rPr>
        <w:t>6.区自然资源分局</w:t>
      </w:r>
      <w:bookmarkEnd w:id="48"/>
    </w:p>
    <w:p w14:paraId="01957898">
      <w:pPr>
        <w:pStyle w:val="2"/>
        <w:ind w:left="0" w:leftChars="0" w:firstLine="640" w:firstLineChars="200"/>
        <w:rPr>
          <w:rFonts w:hint="default" w:eastAsia="仿宋_GB2312"/>
          <w:lang w:val="en-US" w:eastAsia="zh-CN"/>
        </w:rPr>
      </w:pPr>
      <w:r>
        <w:rPr>
          <w:rFonts w:hint="eastAsia" w:ascii="仿宋_GB2312" w:hAnsi="仿宋_GB2312" w:eastAsia="仿宋_GB2312" w:cs="仿宋_GB2312"/>
          <w:sz w:val="32"/>
          <w:szCs w:val="32"/>
          <w:lang w:val="en-US" w:eastAsia="zh-CN"/>
        </w:rPr>
        <w:t>在辐射事故应急情况下，配合开展近岸海域放射性监测，做好海洋观测预报、预警监测等工作。</w:t>
      </w:r>
    </w:p>
    <w:p w14:paraId="19CEFEB1">
      <w:pPr>
        <w:pStyle w:val="5"/>
        <w:spacing w:before="0" w:beforeLines="0" w:after="0" w:afterLines="0" w:line="520" w:lineRule="exact"/>
        <w:ind w:firstLine="640" w:firstLineChars="200"/>
        <w:rPr>
          <w:rFonts w:hint="eastAsia" w:ascii="仿宋_GB2312" w:hAnsi="仿宋_GB2312" w:eastAsia="仿宋_GB2312" w:cs="仿宋_GB2312"/>
          <w:b w:val="0"/>
          <w:szCs w:val="32"/>
        </w:rPr>
      </w:pPr>
      <w:bookmarkStart w:id="49" w:name="_Toc28534"/>
      <w:bookmarkStart w:id="50" w:name="_Toc6436"/>
      <w:r>
        <w:rPr>
          <w:rFonts w:hint="eastAsia" w:ascii="仿宋_GB2312" w:hAnsi="仿宋_GB2312" w:eastAsia="仿宋_GB2312" w:cs="仿宋_GB2312"/>
          <w:b w:val="0"/>
          <w:bCs/>
          <w:szCs w:val="32"/>
          <w:lang w:val="en-US" w:eastAsia="zh-CN"/>
        </w:rPr>
        <w:t>7.</w:t>
      </w:r>
      <w:r>
        <w:rPr>
          <w:rFonts w:hint="eastAsia" w:ascii="仿宋_GB2312" w:hAnsi="仿宋_GB2312" w:eastAsia="仿宋_GB2312" w:cs="仿宋_GB2312"/>
          <w:b w:val="0"/>
          <w:szCs w:val="32"/>
        </w:rPr>
        <w:t>区</w:t>
      </w:r>
      <w:r>
        <w:rPr>
          <w:rFonts w:hint="eastAsia" w:ascii="仿宋_GB2312" w:hAnsi="仿宋_GB2312" w:eastAsia="仿宋_GB2312" w:cs="仿宋_GB2312"/>
          <w:b w:val="0"/>
          <w:szCs w:val="32"/>
          <w:lang w:eastAsia="zh-CN"/>
        </w:rPr>
        <w:t>生态环境分</w:t>
      </w:r>
      <w:r>
        <w:rPr>
          <w:rFonts w:hint="eastAsia" w:ascii="仿宋_GB2312" w:hAnsi="仿宋_GB2312" w:eastAsia="仿宋_GB2312" w:cs="仿宋_GB2312"/>
          <w:b w:val="0"/>
          <w:szCs w:val="32"/>
        </w:rPr>
        <w:t>局</w:t>
      </w:r>
      <w:bookmarkEnd w:id="49"/>
      <w:bookmarkEnd w:id="50"/>
    </w:p>
    <w:p w14:paraId="1407D195">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负责辐射事故的应急响应、调查处理、定性定级和评估工作，协助公安部门监控追缴丢失、被盗的放射源；组织监测站或协调市监测站、省监测中心站对事故发生点周围进行辐射监测。</w:t>
      </w:r>
    </w:p>
    <w:p w14:paraId="3E32AE3A">
      <w:pPr>
        <w:pStyle w:val="5"/>
        <w:spacing w:before="0" w:beforeLines="0" w:after="0" w:afterLines="0" w:line="520" w:lineRule="exact"/>
        <w:ind w:firstLine="640" w:firstLineChars="200"/>
        <w:rPr>
          <w:rFonts w:hint="eastAsia" w:ascii="仿宋_GB2312" w:hAnsi="仿宋_GB2312" w:eastAsia="仿宋_GB2312" w:cs="仿宋_GB2312"/>
          <w:b w:val="0"/>
          <w:szCs w:val="32"/>
          <w:lang w:eastAsia="zh-CN"/>
        </w:rPr>
      </w:pPr>
      <w:bookmarkStart w:id="51" w:name="_Toc16846"/>
      <w:bookmarkStart w:id="52" w:name="_Toc23152"/>
      <w:r>
        <w:rPr>
          <w:rFonts w:hint="eastAsia" w:ascii="仿宋_GB2312" w:hAnsi="仿宋_GB2312" w:eastAsia="仿宋_GB2312" w:cs="仿宋_GB2312"/>
          <w:b w:val="0"/>
          <w:bCs/>
          <w:szCs w:val="32"/>
          <w:lang w:val="en-US" w:eastAsia="zh-CN"/>
        </w:rPr>
        <w:t>8.</w:t>
      </w:r>
      <w:r>
        <w:rPr>
          <w:rFonts w:hint="eastAsia" w:ascii="仿宋_GB2312" w:hAnsi="仿宋_GB2312" w:eastAsia="仿宋_GB2312" w:cs="仿宋_GB2312"/>
          <w:b w:val="0"/>
          <w:szCs w:val="32"/>
        </w:rPr>
        <w:t>区城乡建设和综合执法局</w:t>
      </w:r>
      <w:bookmarkEnd w:id="51"/>
      <w:bookmarkEnd w:id="52"/>
    </w:p>
    <w:p w14:paraId="14504E6F">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负责指导、协助转移、疏散受灾群众，必要时将受灾群众安置到应急庇护场所。</w:t>
      </w:r>
    </w:p>
    <w:p w14:paraId="66081892">
      <w:pPr>
        <w:spacing w:line="520" w:lineRule="exact"/>
        <w:ind w:firstLine="640" w:firstLineChars="200"/>
        <w:outlineLvl w:val="2"/>
        <w:rPr>
          <w:rFonts w:hint="eastAsia" w:ascii="仿宋_GB2312" w:hAnsi="仿宋_GB2312" w:eastAsia="仿宋_GB2312" w:cs="仿宋_GB2312"/>
          <w:sz w:val="32"/>
          <w:szCs w:val="32"/>
          <w:lang w:val="en-US" w:eastAsia="zh-CN"/>
        </w:rPr>
      </w:pPr>
      <w:bookmarkStart w:id="53" w:name="_Toc17543"/>
      <w:bookmarkStart w:id="54" w:name="_Toc3416"/>
      <w:r>
        <w:rPr>
          <w:rFonts w:hint="eastAsia" w:ascii="仿宋_GB2312" w:hAnsi="仿宋_GB2312" w:eastAsia="仿宋_GB2312" w:cs="仿宋_GB2312"/>
          <w:sz w:val="32"/>
          <w:szCs w:val="32"/>
          <w:lang w:val="en-US" w:eastAsia="zh-CN"/>
        </w:rPr>
        <w:t>9.区交通运输和海洋经济局</w:t>
      </w:r>
      <w:bookmarkEnd w:id="53"/>
      <w:bookmarkEnd w:id="54"/>
    </w:p>
    <w:p w14:paraId="1C509CD8">
      <w:pPr>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辐射事故发生时，负责区应急物资运输及支援等工作。</w:t>
      </w:r>
    </w:p>
    <w:p w14:paraId="0244AE34">
      <w:pPr>
        <w:spacing w:line="520" w:lineRule="exact"/>
        <w:ind w:firstLine="640" w:firstLineChars="200"/>
        <w:outlineLvl w:val="2"/>
        <w:rPr>
          <w:rFonts w:hint="eastAsia" w:ascii="仿宋_GB2312" w:hAnsi="仿宋_GB2312" w:eastAsia="仿宋_GB2312" w:cs="仿宋_GB2312"/>
          <w:sz w:val="32"/>
          <w:szCs w:val="32"/>
          <w:highlight w:val="yellow"/>
          <w:lang w:val="en-US" w:eastAsia="zh-CN"/>
        </w:rPr>
      </w:pPr>
      <w:bookmarkStart w:id="55" w:name="_Toc19710"/>
      <w:bookmarkStart w:id="56" w:name="_Toc31736"/>
      <w:r>
        <w:rPr>
          <w:rFonts w:hint="eastAsia" w:ascii="仿宋_GB2312" w:hAnsi="仿宋_GB2312" w:eastAsia="仿宋_GB2312" w:cs="仿宋_GB2312"/>
          <w:sz w:val="32"/>
          <w:szCs w:val="32"/>
          <w:lang w:val="en-US" w:eastAsia="zh-CN"/>
        </w:rPr>
        <w:t>10.区社会事务管理局</w:t>
      </w:r>
      <w:bookmarkEnd w:id="55"/>
      <w:bookmarkEnd w:id="56"/>
    </w:p>
    <w:p w14:paraId="550C6DB2">
      <w:pPr>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辐射事故发生时，负责加强农牧水产品质量安全监测等工作。</w:t>
      </w:r>
    </w:p>
    <w:p w14:paraId="2BE63320">
      <w:pPr>
        <w:spacing w:line="520" w:lineRule="exact"/>
        <w:ind w:firstLine="640" w:firstLineChars="200"/>
        <w:outlineLvl w:val="2"/>
        <w:rPr>
          <w:rFonts w:hint="default" w:ascii="仿宋_GB2312" w:hAnsi="仿宋_GB2312" w:eastAsia="仿宋_GB2312" w:cs="仿宋_GB2312"/>
          <w:sz w:val="32"/>
          <w:szCs w:val="32"/>
          <w:lang w:val="en-US" w:eastAsia="zh-CN"/>
        </w:rPr>
      </w:pPr>
      <w:bookmarkStart w:id="57" w:name="_Toc12693"/>
      <w:bookmarkStart w:id="58" w:name="_Toc11609"/>
      <w:r>
        <w:rPr>
          <w:rFonts w:hint="eastAsia" w:ascii="仿宋_GB2312" w:hAnsi="仿宋_GB2312" w:eastAsia="仿宋_GB2312" w:cs="仿宋_GB2312"/>
          <w:sz w:val="32"/>
          <w:szCs w:val="32"/>
          <w:lang w:val="en-US" w:eastAsia="zh-CN"/>
        </w:rPr>
        <w:t>11.区应急管理局</w:t>
      </w:r>
      <w:bookmarkEnd w:id="57"/>
      <w:bookmarkEnd w:id="58"/>
    </w:p>
    <w:p w14:paraId="10B831A8">
      <w:pPr>
        <w:spacing w:line="520" w:lineRule="exact"/>
        <w:ind w:firstLine="640" w:firstLineChars="200"/>
        <w:rPr>
          <w:rFonts w:hint="default"/>
          <w:lang w:val="en-US" w:eastAsia="zh-CN"/>
        </w:rPr>
      </w:pPr>
      <w:r>
        <w:rPr>
          <w:rFonts w:hint="eastAsia" w:ascii="仿宋_GB2312" w:hAnsi="仿宋_GB2312" w:eastAsia="仿宋_GB2312" w:cs="仿宋_GB2312"/>
          <w:sz w:val="32"/>
          <w:szCs w:val="32"/>
          <w:lang w:val="en-US" w:eastAsia="zh-CN"/>
        </w:rPr>
        <w:t>负责受灾群众疏散支援，以及避难场所日常管理，</w:t>
      </w:r>
      <w:r>
        <w:rPr>
          <w:rFonts w:hint="default" w:ascii="仿宋_GB2312" w:hAnsi="仿宋_GB2312" w:eastAsia="仿宋_GB2312" w:cs="仿宋_GB2312"/>
          <w:sz w:val="32"/>
          <w:szCs w:val="32"/>
          <w:lang w:val="en-US" w:eastAsia="zh-CN"/>
        </w:rPr>
        <w:t>协助区</w:t>
      </w:r>
      <w:r>
        <w:rPr>
          <w:rFonts w:hint="eastAsia" w:ascii="仿宋_GB2312" w:hAnsi="仿宋_GB2312" w:eastAsia="仿宋_GB2312" w:cs="仿宋_GB2312"/>
          <w:sz w:val="32"/>
          <w:szCs w:val="32"/>
          <w:lang w:val="en-US" w:eastAsia="zh-CN"/>
        </w:rPr>
        <w:t>辐射事故应急</w:t>
      </w:r>
      <w:r>
        <w:rPr>
          <w:rFonts w:hint="default" w:ascii="仿宋_GB2312" w:hAnsi="仿宋_GB2312" w:eastAsia="仿宋_GB2312" w:cs="仿宋_GB2312"/>
          <w:sz w:val="32"/>
          <w:szCs w:val="32"/>
          <w:lang w:val="en-US" w:eastAsia="zh-CN"/>
        </w:rPr>
        <w:t>办组织、调度大亚湾区</w:t>
      </w:r>
      <w:r>
        <w:rPr>
          <w:rFonts w:hint="eastAsia" w:ascii="仿宋_GB2312" w:hAnsi="仿宋_GB2312" w:eastAsia="仿宋_GB2312" w:cs="仿宋_GB2312"/>
          <w:sz w:val="32"/>
          <w:szCs w:val="32"/>
          <w:lang w:val="en-US" w:eastAsia="zh-CN"/>
        </w:rPr>
        <w:t>相关应急救援队伍参与应急处置工作</w:t>
      </w:r>
      <w:r>
        <w:rPr>
          <w:rFonts w:hint="default" w:ascii="仿宋_GB2312" w:hAnsi="仿宋_GB2312" w:eastAsia="仿宋_GB2312" w:cs="仿宋_GB2312"/>
          <w:sz w:val="32"/>
          <w:szCs w:val="32"/>
          <w:lang w:val="en-US" w:eastAsia="zh-CN"/>
        </w:rPr>
        <w:t>。</w:t>
      </w:r>
    </w:p>
    <w:p w14:paraId="058EABF3">
      <w:pPr>
        <w:pStyle w:val="4"/>
        <w:spacing w:before="0" w:beforeLines="0" w:after="0" w:afterLines="0" w:line="520" w:lineRule="exact"/>
        <w:ind w:firstLine="640" w:firstLineChars="200"/>
        <w:outlineLvl w:val="2"/>
        <w:rPr>
          <w:rFonts w:hint="eastAsia" w:ascii="仿宋_GB2312" w:hAnsi="仿宋_GB2312" w:eastAsia="仿宋_GB2312" w:cs="仿宋_GB2312"/>
          <w:b w:val="0"/>
          <w:bCs w:val="0"/>
          <w:lang w:val="en-US" w:eastAsia="zh-CN"/>
        </w:rPr>
      </w:pPr>
      <w:bookmarkStart w:id="59" w:name="_Toc27830"/>
      <w:bookmarkStart w:id="60" w:name="_Toc30008"/>
      <w:bookmarkStart w:id="61" w:name="_Toc432493619"/>
      <w:bookmarkStart w:id="62" w:name="_Toc28151"/>
      <w:bookmarkStart w:id="63" w:name="_Toc22705"/>
      <w:bookmarkStart w:id="64" w:name="_Toc29572"/>
      <w:bookmarkStart w:id="65" w:name="_Toc32729"/>
      <w:r>
        <w:rPr>
          <w:rFonts w:hint="eastAsia" w:ascii="仿宋_GB2312" w:hAnsi="仿宋_GB2312" w:eastAsia="仿宋_GB2312" w:cs="仿宋_GB2312"/>
          <w:b w:val="0"/>
          <w:bCs w:val="0"/>
          <w:lang w:val="en-US" w:eastAsia="zh-CN"/>
        </w:rPr>
        <w:t>12.区市场监督管理局</w:t>
      </w:r>
      <w:bookmarkEnd w:id="59"/>
      <w:bookmarkEnd w:id="60"/>
    </w:p>
    <w:p w14:paraId="4B9692FC">
      <w:pPr>
        <w:pStyle w:val="4"/>
        <w:spacing w:before="0" w:beforeLines="0" w:after="0" w:afterLines="0" w:line="520" w:lineRule="exact"/>
        <w:ind w:firstLine="640" w:firstLineChars="200"/>
        <w:outlineLvl w:val="2"/>
        <w:rPr>
          <w:rFonts w:hint="eastAsia" w:ascii="仿宋_GB2312" w:hAnsi="仿宋_GB2312" w:eastAsia="仿宋_GB2312" w:cs="仿宋_GB2312"/>
          <w:b w:val="0"/>
          <w:bCs w:val="0"/>
          <w:lang w:val="en-US" w:eastAsia="zh-CN"/>
        </w:rPr>
      </w:pPr>
      <w:bookmarkStart w:id="66" w:name="_Toc17946"/>
      <w:bookmarkStart w:id="67" w:name="_Toc8247"/>
      <w:r>
        <w:rPr>
          <w:rFonts w:hint="eastAsia" w:ascii="仿宋_GB2312" w:hAnsi="仿宋_GB2312" w:eastAsia="仿宋_GB2312" w:cs="仿宋_GB2312"/>
          <w:b w:val="0"/>
          <w:bCs w:val="0"/>
          <w:lang w:val="en-US" w:eastAsia="zh-CN"/>
        </w:rPr>
        <w:t>负责事故受影响地区生活必需品的市场监管。在辐射事故应急情况下，负责开展食品应急辐射监测，并配合开展饮用水应急辐射监测等工作。</w:t>
      </w:r>
      <w:bookmarkEnd w:id="66"/>
      <w:bookmarkEnd w:id="67"/>
    </w:p>
    <w:p w14:paraId="7F2F4629">
      <w:pPr>
        <w:pStyle w:val="4"/>
        <w:spacing w:before="0" w:beforeLines="0" w:after="0" w:afterLines="0" w:line="520" w:lineRule="exact"/>
        <w:ind w:firstLine="640" w:firstLineChars="200"/>
        <w:outlineLvl w:val="2"/>
        <w:rPr>
          <w:rFonts w:hint="eastAsia" w:ascii="仿宋_GB2312" w:hAnsi="仿宋_GB2312" w:eastAsia="仿宋_GB2312" w:cs="仿宋_GB2312"/>
          <w:b w:val="0"/>
          <w:bCs w:val="0"/>
          <w:lang w:val="en-US" w:eastAsia="zh-CN"/>
        </w:rPr>
      </w:pPr>
      <w:bookmarkStart w:id="68" w:name="_Toc7953"/>
      <w:bookmarkStart w:id="69" w:name="_Toc32132"/>
      <w:r>
        <w:rPr>
          <w:rFonts w:hint="eastAsia" w:ascii="仿宋_GB2312" w:hAnsi="仿宋_GB2312" w:eastAsia="仿宋_GB2312" w:cs="仿宋_GB2312"/>
          <w:b w:val="0"/>
          <w:bCs w:val="0"/>
          <w:lang w:val="en-US" w:eastAsia="zh-CN"/>
        </w:rPr>
        <w:t>13.区石化能源产业局职责</w:t>
      </w:r>
      <w:bookmarkEnd w:id="68"/>
      <w:bookmarkEnd w:id="69"/>
    </w:p>
    <w:p w14:paraId="09F4021D">
      <w:pPr>
        <w:pStyle w:val="4"/>
        <w:spacing w:before="0" w:beforeLines="0" w:after="0" w:afterLines="0" w:line="520" w:lineRule="exact"/>
        <w:ind w:firstLine="640" w:firstLineChars="200"/>
        <w:outlineLvl w:val="2"/>
        <w:rPr>
          <w:rFonts w:hint="default" w:ascii="仿宋_GB2312" w:hAnsi="仿宋_GB2312" w:eastAsia="仿宋_GB2312" w:cs="仿宋_GB2312"/>
          <w:b w:val="0"/>
          <w:bCs w:val="0"/>
          <w:lang w:val="en-US" w:eastAsia="zh-CN"/>
        </w:rPr>
      </w:pPr>
      <w:bookmarkStart w:id="70" w:name="_Toc8369"/>
      <w:bookmarkStart w:id="71" w:name="_Toc19443"/>
      <w:r>
        <w:rPr>
          <w:rFonts w:hint="eastAsia" w:ascii="仿宋_GB2312" w:hAnsi="仿宋_GB2312" w:eastAsia="仿宋_GB2312" w:cs="仿宋_GB2312"/>
          <w:b w:val="0"/>
          <w:bCs w:val="0"/>
          <w:lang w:val="en-US" w:eastAsia="zh-CN"/>
        </w:rPr>
        <w:t>指导能源应急保障工作，负责能源预测预警，发布相关信息;事故应急期间，配合公安部门开展石化区内辐射事故调查工作，配合做好对石化园区核技术利用企业加强宣传教育，吸取案例教训，加强管理等工作。</w:t>
      </w:r>
      <w:bookmarkEnd w:id="70"/>
      <w:bookmarkEnd w:id="71"/>
    </w:p>
    <w:p w14:paraId="7751E80B">
      <w:pPr>
        <w:pStyle w:val="4"/>
        <w:spacing w:before="0" w:beforeLines="0" w:after="0" w:afterLines="0" w:line="520" w:lineRule="exact"/>
        <w:ind w:firstLine="640" w:firstLineChars="200"/>
        <w:outlineLvl w:val="2"/>
        <w:rPr>
          <w:rFonts w:hint="eastAsia" w:ascii="仿宋_GB2312" w:hAnsi="仿宋_GB2312" w:eastAsia="仿宋_GB2312" w:cs="仿宋_GB2312"/>
          <w:b w:val="0"/>
          <w:bCs w:val="0"/>
        </w:rPr>
      </w:pPr>
      <w:bookmarkStart w:id="72" w:name="_Toc3629"/>
      <w:bookmarkStart w:id="73" w:name="_Toc24156"/>
      <w:r>
        <w:rPr>
          <w:rFonts w:hint="eastAsia" w:ascii="仿宋_GB2312" w:hAnsi="仿宋_GB2312" w:eastAsia="仿宋_GB2312" w:cs="仿宋_GB2312"/>
          <w:b w:val="0"/>
          <w:bCs w:val="0"/>
          <w:lang w:val="en-US" w:eastAsia="zh-CN"/>
        </w:rPr>
        <w:t>14.</w:t>
      </w:r>
      <w:r>
        <w:rPr>
          <w:rFonts w:hint="eastAsia" w:ascii="仿宋_GB2312" w:hAnsi="仿宋_GB2312" w:eastAsia="仿宋_GB2312" w:cs="仿宋_GB2312"/>
          <w:b w:val="0"/>
          <w:bCs w:val="0"/>
        </w:rPr>
        <w:t>各街道办职责</w:t>
      </w:r>
      <w:bookmarkEnd w:id="61"/>
      <w:bookmarkEnd w:id="62"/>
      <w:bookmarkEnd w:id="63"/>
      <w:bookmarkEnd w:id="72"/>
      <w:bookmarkEnd w:id="73"/>
    </w:p>
    <w:p w14:paraId="4D0268CC">
      <w:pPr>
        <w:spacing w:line="520" w:lineRule="exact"/>
        <w:ind w:firstLine="640" w:firstLineChars="200"/>
        <w:rPr>
          <w:rFonts w:hint="eastAsia" w:ascii="仿宋_GB2312" w:hAnsi="仿宋_GB2312" w:eastAsia="仿宋_GB2312" w:cs="仿宋_GB2312"/>
          <w:sz w:val="32"/>
          <w:szCs w:val="32"/>
        </w:rPr>
      </w:pPr>
      <w:bookmarkStart w:id="74" w:name="OLE_LINK2"/>
      <w:bookmarkStart w:id="75" w:name="OLE_LINK1"/>
      <w:r>
        <w:rPr>
          <w:rFonts w:hint="eastAsia" w:ascii="仿宋_GB2312" w:hAnsi="仿宋_GB2312" w:eastAsia="仿宋_GB2312" w:cs="仿宋_GB2312"/>
          <w:sz w:val="32"/>
          <w:szCs w:val="32"/>
        </w:rPr>
        <w:t>各街道办</w:t>
      </w:r>
      <w:bookmarkEnd w:id="74"/>
      <w:bookmarkEnd w:id="75"/>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配合参与</w:t>
      </w:r>
      <w:r>
        <w:rPr>
          <w:rFonts w:hint="eastAsia" w:ascii="仿宋_GB2312" w:hAnsi="仿宋_GB2312" w:eastAsia="仿宋_GB2312" w:cs="仿宋_GB2312"/>
          <w:sz w:val="32"/>
          <w:szCs w:val="32"/>
        </w:rPr>
        <w:t>本行政区域内辐射事故的预防、应急处置与救援、事后恢复与重建等工作。</w:t>
      </w:r>
      <w:bookmarkEnd w:id="64"/>
      <w:bookmarkEnd w:id="65"/>
    </w:p>
    <w:p w14:paraId="3B1C5DDD">
      <w:pPr>
        <w:spacing w:line="520" w:lineRule="exact"/>
        <w:ind w:firstLine="640" w:firstLineChars="200"/>
        <w:outlineLvl w:val="2"/>
        <w:rPr>
          <w:rFonts w:hint="eastAsia" w:ascii="仿宋_GB2312" w:hAnsi="仿宋_GB2312" w:eastAsia="仿宋_GB2312" w:cs="仿宋_GB2312"/>
          <w:sz w:val="32"/>
          <w:szCs w:val="32"/>
          <w:lang w:val="en-US" w:eastAsia="zh-CN"/>
        </w:rPr>
      </w:pPr>
      <w:bookmarkStart w:id="76" w:name="_Toc23885"/>
      <w:bookmarkStart w:id="77" w:name="_Toc25974"/>
      <w:r>
        <w:rPr>
          <w:rFonts w:hint="eastAsia" w:ascii="仿宋_GB2312" w:hAnsi="仿宋_GB2312" w:eastAsia="仿宋_GB2312" w:cs="仿宋_GB2312"/>
          <w:sz w:val="32"/>
          <w:szCs w:val="32"/>
          <w:lang w:val="en-US" w:eastAsia="zh-CN"/>
        </w:rPr>
        <w:t>15.区消防救援大队</w:t>
      </w:r>
      <w:bookmarkEnd w:id="76"/>
      <w:bookmarkEnd w:id="77"/>
    </w:p>
    <w:p w14:paraId="05022D03">
      <w:pPr>
        <w:spacing w:line="52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区内发生辐射事故时，</w:t>
      </w:r>
      <w:r>
        <w:rPr>
          <w:rFonts w:hint="default" w:ascii="仿宋_GB2312" w:hAnsi="仿宋_GB2312" w:eastAsia="仿宋_GB2312" w:cs="仿宋_GB2312"/>
          <w:sz w:val="32"/>
          <w:szCs w:val="32"/>
          <w:lang w:val="en-US" w:eastAsia="zh-CN"/>
        </w:rPr>
        <w:t>具体负责本区范围的治安保卫和交通控制及消防</w:t>
      </w:r>
      <w:r>
        <w:rPr>
          <w:rFonts w:hint="eastAsia" w:ascii="仿宋_GB2312" w:hAnsi="仿宋_GB2312" w:eastAsia="仿宋_GB2312" w:cs="仿宋_GB2312"/>
          <w:sz w:val="32"/>
          <w:szCs w:val="32"/>
          <w:lang w:val="en-US" w:eastAsia="zh-CN"/>
        </w:rPr>
        <w:t>、应急救援行动，参与沾染检查、去污洗消工作。</w:t>
      </w:r>
    </w:p>
    <w:p w14:paraId="3FC5C720">
      <w:pPr>
        <w:spacing w:line="520" w:lineRule="exact"/>
        <w:ind w:firstLine="640" w:firstLineChars="200"/>
        <w:outlineLvl w:val="2"/>
        <w:rPr>
          <w:rFonts w:hint="eastAsia" w:ascii="仿宋_GB2312" w:hAnsi="仿宋_GB2312" w:eastAsia="仿宋_GB2312" w:cs="仿宋_GB2312"/>
          <w:sz w:val="32"/>
          <w:szCs w:val="32"/>
          <w:lang w:val="en-US" w:eastAsia="zh-CN"/>
        </w:rPr>
      </w:pPr>
      <w:bookmarkStart w:id="78" w:name="_Toc11975"/>
      <w:bookmarkStart w:id="79" w:name="_Toc7481"/>
      <w:r>
        <w:rPr>
          <w:rFonts w:hint="eastAsia" w:ascii="仿宋_GB2312" w:hAnsi="仿宋_GB2312" w:eastAsia="仿宋_GB2312" w:cs="仿宋_GB2312"/>
          <w:sz w:val="32"/>
          <w:szCs w:val="32"/>
          <w:lang w:val="en-US" w:eastAsia="zh-CN"/>
        </w:rPr>
        <w:t>16.区供电局</w:t>
      </w:r>
      <w:bookmarkEnd w:id="78"/>
      <w:bookmarkEnd w:id="79"/>
    </w:p>
    <w:p w14:paraId="64F20608">
      <w:pPr>
        <w:spacing w:line="52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负责</w:t>
      </w:r>
      <w:r>
        <w:rPr>
          <w:rFonts w:hint="default" w:ascii="仿宋_GB2312" w:hAnsi="仿宋_GB2312" w:eastAsia="仿宋_GB2312" w:cs="仿宋_GB2312"/>
          <w:sz w:val="32"/>
          <w:szCs w:val="32"/>
          <w:lang w:val="en-US" w:eastAsia="zh-CN"/>
        </w:rPr>
        <w:t>应急供电保障的准备工作，确保在</w:t>
      </w:r>
      <w:r>
        <w:rPr>
          <w:rFonts w:hint="eastAsia" w:ascii="仿宋_GB2312" w:hAnsi="仿宋_GB2312" w:eastAsia="仿宋_GB2312" w:cs="仿宋_GB2312"/>
          <w:sz w:val="32"/>
          <w:szCs w:val="32"/>
          <w:lang w:val="en-US" w:eastAsia="zh-CN"/>
        </w:rPr>
        <w:t>辐射</w:t>
      </w:r>
      <w:r>
        <w:rPr>
          <w:rFonts w:hint="default" w:ascii="仿宋_GB2312" w:hAnsi="仿宋_GB2312" w:eastAsia="仿宋_GB2312" w:cs="仿宋_GB2312"/>
          <w:sz w:val="32"/>
          <w:szCs w:val="32"/>
          <w:lang w:val="en-US" w:eastAsia="zh-CN"/>
        </w:rPr>
        <w:t>事故</w:t>
      </w:r>
      <w:r>
        <w:rPr>
          <w:rFonts w:hint="eastAsia" w:ascii="仿宋_GB2312" w:hAnsi="仿宋_GB2312" w:eastAsia="仿宋_GB2312" w:cs="仿宋_GB2312"/>
          <w:sz w:val="32"/>
          <w:szCs w:val="32"/>
          <w:lang w:val="en-US" w:eastAsia="zh-CN"/>
        </w:rPr>
        <w:t>发生</w:t>
      </w:r>
      <w:r>
        <w:rPr>
          <w:rFonts w:hint="default" w:ascii="仿宋_GB2312" w:hAnsi="仿宋_GB2312" w:eastAsia="仿宋_GB2312" w:cs="仿宋_GB2312"/>
          <w:sz w:val="32"/>
          <w:szCs w:val="32"/>
          <w:lang w:val="en-US" w:eastAsia="zh-CN"/>
        </w:rPr>
        <w:t>时对大亚湾区范围内相关单位的电力供应。</w:t>
      </w:r>
    </w:p>
    <w:p w14:paraId="4300D2C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5CC9AF94">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eastAsia="zh-CN"/>
        </w:rPr>
      </w:pPr>
      <w:bookmarkStart w:id="80" w:name="_Toc18816"/>
      <w:r>
        <w:rPr>
          <w:rFonts w:hint="eastAsia" w:ascii="黑体" w:hAnsi="黑体" w:eastAsia="黑体" w:cs="黑体"/>
          <w:sz w:val="32"/>
          <w:szCs w:val="32"/>
          <w:lang w:eastAsia="zh-CN"/>
        </w:rPr>
        <w:t>三、预防</w:t>
      </w:r>
      <w:bookmarkEnd w:id="80"/>
    </w:p>
    <w:p w14:paraId="2DFAF5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按照“常备不懈”应急指导方针，贮备和预先准备必要的辐射事故应急装备、仪器设备。</w:t>
      </w:r>
    </w:p>
    <w:p w14:paraId="100514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各有关单位宣传放射防护知识，开展法规教育。辐射工作人员经辐射防护知识培训和法规教育考核合格者方能上岗。</w:t>
      </w:r>
    </w:p>
    <w:p w14:paraId="41FEF7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区生态环境分局配合省市生态环境部门对新建、改建、扩建放射性同位素和射线装置工作场所严格进行审查和竣工验收，消除潜在的事故隐患，保证放射性同位素和射线装置防护设施与主体工程同时设计、同时施工、同时投入使用。</w:t>
      </w:r>
    </w:p>
    <w:p w14:paraId="57D324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区生态环境分局加强对全区放射性同位素和射线装置利用单位的守法情况及安全防护的现场检查。</w:t>
      </w:r>
    </w:p>
    <w:p w14:paraId="3C2FE0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联系有关部门及时强制收贮涉源单位的闲置、废弃放射源，清除事故隐患。</w:t>
      </w:r>
    </w:p>
    <w:p w14:paraId="77C0A1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区生态环境分局配合市生态环境局监督检查在室外、野外使用放射性同位素和射线装置的单位，是否按照国家安全和防护标准的要求划出安全防护区域、设置明显的放射性标志和专人警戒。</w:t>
      </w:r>
    </w:p>
    <w:p w14:paraId="03D544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区有关部门对生产、销售、使用、贮存放射性同位素和射线装置的场所定期组织开展辐射环境安全现场检查、辐射环境风险源排查；查清底数、建立辐射事故风险源的信息数据库。</w:t>
      </w:r>
    </w:p>
    <w:p w14:paraId="50EEF3DC">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14:paraId="5203589D">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eastAsia="zh-CN"/>
        </w:rPr>
      </w:pPr>
      <w:bookmarkStart w:id="81" w:name="_Toc25785"/>
      <w:r>
        <w:rPr>
          <w:rFonts w:hint="eastAsia" w:ascii="黑体" w:hAnsi="黑体" w:eastAsia="黑体" w:cs="黑体"/>
          <w:sz w:val="32"/>
          <w:szCs w:val="32"/>
          <w:lang w:eastAsia="zh-CN"/>
        </w:rPr>
        <w:t>四、辐射事故应急处置</w:t>
      </w:r>
      <w:bookmarkEnd w:id="81"/>
    </w:p>
    <w:p w14:paraId="2AC81D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82" w:name="_Toc18004"/>
      <w:r>
        <w:rPr>
          <w:rFonts w:hint="eastAsia" w:ascii="楷体" w:hAnsi="楷体" w:eastAsia="楷体" w:cs="楷体"/>
          <w:sz w:val="32"/>
          <w:szCs w:val="32"/>
          <w:lang w:eastAsia="zh-CN"/>
        </w:rPr>
        <w:t>（一）辐射事故分级</w:t>
      </w:r>
      <w:bookmarkEnd w:id="82"/>
    </w:p>
    <w:p w14:paraId="2E4754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根据辐射事故的性质、严重程度、可控性和影响范围等因素，将辐射事故分为特别重大、重大、较大和一般四个等级。</w:t>
      </w:r>
    </w:p>
    <w:p w14:paraId="3AD740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83" w:name="_Toc3426"/>
      <w:bookmarkStart w:id="84" w:name="_Toc12278"/>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特别重大辐射事故（I级）</w:t>
      </w:r>
      <w:bookmarkEnd w:id="83"/>
      <w:bookmarkEnd w:id="84"/>
    </w:p>
    <w:p w14:paraId="2DEBFA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凡符合下列情形之一的，为特别重大辐射事故：</w:t>
      </w:r>
    </w:p>
    <w:p w14:paraId="596E9E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color w:val="auto"/>
          <w:sz w:val="32"/>
          <w:szCs w:val="32"/>
          <w:lang w:eastAsia="zh-CN"/>
        </w:rPr>
        <w:t>Ⅰ类、Ⅱ类放射源丢失、被盗、失控造成大范围严重辐射污染后果；</w:t>
      </w:r>
    </w:p>
    <w:p w14:paraId="2C04C3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（2）放射性同位素和射线装置失控导致3人以上(含3人)急性死亡。</w:t>
      </w:r>
    </w:p>
    <w:p w14:paraId="041BBB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85" w:name="_Toc17509"/>
      <w:bookmarkStart w:id="86" w:name="_Toc9099"/>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重大辐射事故（Ⅱ级）</w:t>
      </w:r>
      <w:bookmarkEnd w:id="85"/>
      <w:bookmarkEnd w:id="86"/>
    </w:p>
    <w:p w14:paraId="5F5B86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凡符合下列情形之一的，为重大辐射事故：</w:t>
      </w:r>
    </w:p>
    <w:p w14:paraId="4BCFDF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（1）I类、Ⅱ类放射源丢失、被盗、失控；</w:t>
      </w:r>
    </w:p>
    <w:p w14:paraId="62F4D9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（2）放射性同位素和射线装置失控导致2人以下(含2人)急性死亡或者10人以上(含10人)急性重度放射病、局部器官残疾。</w:t>
      </w:r>
    </w:p>
    <w:p w14:paraId="301B3D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87" w:name="_Toc21153"/>
      <w:bookmarkStart w:id="88" w:name="_Toc21061"/>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较大辐射事故（Ⅲ级）</w:t>
      </w:r>
      <w:bookmarkEnd w:id="87"/>
      <w:bookmarkEnd w:id="88"/>
    </w:p>
    <w:p w14:paraId="5F6C38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凡符合下列情形之一的，为较大辐射事故：</w:t>
      </w:r>
    </w:p>
    <w:p w14:paraId="02C878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（1）Ⅲ类放射源丢失、被盗、失控；</w:t>
      </w:r>
    </w:p>
    <w:p w14:paraId="670E39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（2）放射性同位素和射线装置失控导致9人以下(含9人)急性重度放射病、局部器官残疾。</w:t>
      </w:r>
    </w:p>
    <w:p w14:paraId="2DA711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89" w:name="_Toc14594"/>
      <w:bookmarkStart w:id="90" w:name="_Toc6372"/>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一般辐射事故（Ⅳ级）</w:t>
      </w:r>
      <w:bookmarkEnd w:id="89"/>
      <w:bookmarkEnd w:id="90"/>
    </w:p>
    <w:p w14:paraId="6593C3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凡符合下列情形之一的，为一般辐射事故：</w:t>
      </w:r>
    </w:p>
    <w:p w14:paraId="773A14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（1）Ⅳ、Ⅴ类放射源丢失、被盗、失控；</w:t>
      </w:r>
    </w:p>
    <w:p w14:paraId="306F97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（2）放射性同位素和射线装置失控导致人员受到超过年剂量限值的照射。</w:t>
      </w:r>
    </w:p>
    <w:p w14:paraId="30D28A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91" w:name="_Toc6485"/>
      <w:r>
        <w:rPr>
          <w:rFonts w:hint="eastAsia" w:ascii="楷体" w:hAnsi="楷体" w:eastAsia="楷体" w:cs="楷体"/>
          <w:sz w:val="32"/>
          <w:szCs w:val="32"/>
          <w:lang w:eastAsia="zh-CN"/>
        </w:rPr>
        <w:t>（二）应急预案启动条件</w:t>
      </w:r>
      <w:bookmarkEnd w:id="91"/>
    </w:p>
    <w:p w14:paraId="5FEFC1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92" w:name="_Toc14330"/>
      <w:bookmarkStart w:id="93" w:name="_Toc29960"/>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信息来源</w:t>
      </w:r>
      <w:bookmarkEnd w:id="92"/>
      <w:bookmarkEnd w:id="93"/>
    </w:p>
    <w:p w14:paraId="6F84D2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（1）放射源和辐射技术应用单位报告；</w:t>
      </w:r>
    </w:p>
    <w:p w14:paraId="7DC194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（2）生态环境、公安、卫生等部门发现；</w:t>
      </w:r>
    </w:p>
    <w:p w14:paraId="2EA54D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（3）其他。</w:t>
      </w:r>
    </w:p>
    <w:p w14:paraId="28A022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94" w:name="_Toc32010"/>
      <w:bookmarkStart w:id="95" w:name="_Toc20201"/>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信息分类</w:t>
      </w:r>
      <w:bookmarkEnd w:id="94"/>
      <w:bookmarkEnd w:id="95"/>
    </w:p>
    <w:p w14:paraId="4189B8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（1）Ⅰ类、Ⅱ类放射源丢失、被盗、失控；</w:t>
      </w:r>
    </w:p>
    <w:p w14:paraId="7DA0F9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（2）Ⅲ类放射源丢失、被盗、失控；</w:t>
      </w:r>
    </w:p>
    <w:p w14:paraId="6BA400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（3）Ⅳ类、Ⅴ类放射源丢失、被盗、失控；</w:t>
      </w:r>
    </w:p>
    <w:p w14:paraId="7E1093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（4）射线装置失控；</w:t>
      </w:r>
    </w:p>
    <w:p w14:paraId="687865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（5）放射源破碎、散落；</w:t>
      </w:r>
    </w:p>
    <w:p w14:paraId="48E26F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（6）放射性同位素和射线装置失控导致人员急性死亡；</w:t>
      </w:r>
    </w:p>
    <w:p w14:paraId="74FE3A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（7）放射性同位素和射线装置失控导致急性放射病等。</w:t>
      </w:r>
    </w:p>
    <w:p w14:paraId="5C784C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96" w:name="_Toc15651"/>
      <w:bookmarkStart w:id="97" w:name="_Toc23640"/>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信息识别</w:t>
      </w:r>
      <w:bookmarkEnd w:id="96"/>
      <w:bookmarkEnd w:id="97"/>
    </w:p>
    <w:p w14:paraId="3E4C17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办公室收到信息报告后，马上组织专家对信息来源和有关情况进行信息识别，初步判断是否属于辐射事故。</w:t>
      </w:r>
    </w:p>
    <w:p w14:paraId="6BD6AC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辐射事故的评估：</w:t>
      </w:r>
    </w:p>
    <w:p w14:paraId="6D7E19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评估内容：明确突发辐射事故性质和类别，预测可能的涉及范围、发展趋势及其对人体健康或环境的影响；确定突发辐射事故的级别；评估现有应急处置措施是否得当，应急能力是否达到控制突发辐射事故的需求等。</w:t>
      </w:r>
    </w:p>
    <w:p w14:paraId="0EDDE9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（2）快速评估步骤：通过对突发辐射事故发生地区进行现场调查，收集资料，并迅速对现有信息资料进行全面分析研究，提出评估意见，为技术行为和行政决策提供依据。</w:t>
      </w:r>
    </w:p>
    <w:p w14:paraId="525E9E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决策咨询：辐射事故应急办组织突发辐射事故评估专家对快速评估结果进行分析，提出对现有应急处置措施的改进意见，并形成评估结果汇报至应急领导小组组长，由应急领导小组审批后组织协调发布级别预警或启动预案消息。</w:t>
      </w:r>
    </w:p>
    <w:p w14:paraId="531452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应急领导小组无法判别时，应立即报告上级领导机构。</w:t>
      </w:r>
    </w:p>
    <w:p w14:paraId="039F8A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98" w:name="_Toc14383"/>
      <w:bookmarkStart w:id="99" w:name="_Toc11591"/>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应急预案启动</w:t>
      </w:r>
      <w:bookmarkEnd w:id="98"/>
      <w:bookmarkEnd w:id="99"/>
    </w:p>
    <w:p w14:paraId="3245C7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应急领导小组根据信息识别结果作出相关响应工作，响应程序依据特别重大辐射事故、重大辐射事故、较大辐射事故和一般辐射事故四个等级进行，响应级别分为Ⅰ级、Ⅱ级、Ⅲ级、Ⅳ级四个等级。</w:t>
      </w:r>
    </w:p>
    <w:p w14:paraId="183B86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00" w:name="_Toc2547"/>
      <w:r>
        <w:rPr>
          <w:rFonts w:hint="eastAsia" w:ascii="楷体" w:hAnsi="楷体" w:eastAsia="楷体" w:cs="楷体"/>
          <w:sz w:val="32"/>
          <w:szCs w:val="32"/>
          <w:lang w:eastAsia="zh-CN"/>
        </w:rPr>
        <w:t>（三）分级响应</w:t>
      </w:r>
      <w:bookmarkEnd w:id="100"/>
    </w:p>
    <w:p w14:paraId="43B9784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01" w:name="_Toc27656"/>
      <w:bookmarkStart w:id="102" w:name="_Toc11555"/>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分级响应机制</w:t>
      </w:r>
      <w:bookmarkEnd w:id="101"/>
      <w:bookmarkEnd w:id="102"/>
    </w:p>
    <w:p w14:paraId="5E8211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应急响应坚持属地为主的原则，按辐射事故的可控性、严重程度和影响范围，辐射事故的应急响应分为特别重大（Ⅰ级响应）、重大（Ⅱ级响应）、较大（Ⅲ级响应）、一般（Ⅳ级响应）四级。超出本级应急处置能力时，应及时请求上一级政府启动上一级应急预案。Ⅰ级应急响应报国务院组织实施，Ⅱ级应急响应报省政府组织实施，Ⅲ级应急响应由市政府组织实施，Ⅳ级应急响应由县（区）政府组织实施。</w:t>
      </w:r>
    </w:p>
    <w:p w14:paraId="7FF0C5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03" w:name="_Toc12349"/>
      <w:bookmarkStart w:id="104" w:name="_Toc5772"/>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分级响应的启动</w:t>
      </w:r>
      <w:bookmarkEnd w:id="103"/>
      <w:bookmarkEnd w:id="104"/>
    </w:p>
    <w:p w14:paraId="4B5C66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特别重大（Ⅰ级）、重大（Ⅱ级）、较大（Ⅲ级）响应。发生特别重大、重大、较大辐射事故时，区辐射事故应急领导小组在上级有关应急指挥机构统一领导和指挥下，协助做好事件应急处理工作，并及时向上级应急指挥机构和有关部门报告事件的应急处理工作进展情况。</w:t>
      </w:r>
    </w:p>
    <w:p w14:paraId="55F042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一般（Ⅳ级）响应。发生一般（Ⅳ级）辐射事故时，由区管委会负责启动一般（Ⅳ级）响应，区辐射事故应急领导小组负责启动辐射事故的应急处置工作，并及时向区管委会、市生态环境局报告事件处置工作进展情况，并采取下列应急处置措施：</w:t>
      </w:r>
    </w:p>
    <w:p w14:paraId="2A56D1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①区辐射事故应急领导小组接到一般辐射事故报告后，立即向区辐射事故应急领导小组成员单位及可能涉及的街道办通报有关情况；</w:t>
      </w:r>
    </w:p>
    <w:p w14:paraId="16D620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②区辐射事故应急领导小组成员单位以及事发地街道办应急指挥机构实行24小时专人值班，随时掌握事件进展情况；</w:t>
      </w:r>
    </w:p>
    <w:p w14:paraId="1C351F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③区辐射事故应急领导小组组织专家对事件进行评估，提出启动区辐射事故件应急预案的建议，并根据评估结果上报区管委会；</w:t>
      </w:r>
    </w:p>
    <w:p w14:paraId="4D3E3F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④区管委会启动一般（Ⅳ级）响应，应急领导小组各成员单位赶赴现场处理，组织应急救援，必要时调集事发地周边地区综合应急力量增援；区公安分局、生态环境分局协调设立现场警戒区和交通管制区域，确定重点防护区域；</w:t>
      </w:r>
    </w:p>
    <w:p w14:paraId="61349C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⑤根据事态发展情况建议区管委会及时向可能涉及的相邻县（区）通报情况，适时向公众通报事件处理情况；</w:t>
      </w:r>
    </w:p>
    <w:p w14:paraId="3E783F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⑥当一般（Ⅳ级）辐射事故超出区管委会应急处置能力时，由区管委会提出申请，市政府负责启动较大（Ⅲ级）响应或向上报告启动重大（Ⅱ级）、特别重大（Ⅰ级）响应。</w:t>
      </w:r>
    </w:p>
    <w:p w14:paraId="3972E1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）辐射事故由上级政府统一领导和组织处置的，区管委会应当做好先期处置和善后工作。</w:t>
      </w:r>
    </w:p>
    <w:p w14:paraId="6066CB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05" w:name="_Toc27669"/>
      <w:bookmarkStart w:id="106" w:name="_Toc19473"/>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响应级别的调整</w:t>
      </w:r>
      <w:bookmarkEnd w:id="105"/>
      <w:bookmarkEnd w:id="106"/>
    </w:p>
    <w:p w14:paraId="4668EA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启动响应的政府，应当根据事态的发展情况和采取措施的效果适时调整响应级别。</w:t>
      </w:r>
    </w:p>
    <w:p w14:paraId="1CCD85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07" w:name="_Toc22067"/>
      <w:r>
        <w:rPr>
          <w:rFonts w:hint="eastAsia" w:ascii="楷体" w:hAnsi="楷体" w:eastAsia="楷体" w:cs="楷体"/>
          <w:sz w:val="32"/>
          <w:szCs w:val="32"/>
          <w:lang w:eastAsia="zh-CN"/>
        </w:rPr>
        <w:t>（四）信息报告</w:t>
      </w:r>
      <w:bookmarkEnd w:id="107"/>
    </w:p>
    <w:p w14:paraId="678BBA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08" w:name="_Toc30695"/>
      <w:bookmarkStart w:id="109" w:name="_Toc6287"/>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辐射事故报告时限和程序</w:t>
      </w:r>
      <w:bookmarkEnd w:id="108"/>
      <w:bookmarkEnd w:id="109"/>
    </w:p>
    <w:p w14:paraId="163405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发现发生辐射事故后，事故单位应当立即启动本单位辐射事故应急响应，及时采取必要应急处置措施，及时向区生态环境分局、区公安分局报告，后续补填《辐射事故初始报告表》（见附件）。造成或可能造成人员辐射损伤照射的，还应同时向区教育文化卫生健康局报告。区生态环境分局在发现或者得知辐射事故信息后，应当立即进行核实，对辐射事故的性质和类别做出初步认定。各有关单位按照职责收集和提供辐射事故发生、发展、损失以及处置等情况。</w:t>
      </w:r>
    </w:p>
    <w:p w14:paraId="1735DA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）接到辐射事故报告的区生态环境分局、公安分局和教育文化卫生健康局，应</w:t>
      </w:r>
      <w:r>
        <w:rPr>
          <w:rFonts w:hint="eastAsia" w:ascii="仿宋_GB2312" w:hAnsi="仿宋_GB2312" w:eastAsia="仿宋_GB2312" w:cs="仿宋_GB2312"/>
          <w:sz w:val="32"/>
          <w:szCs w:val="32"/>
          <w:lang w:val="en-US" w:eastAsia="zh-CN"/>
        </w:rPr>
        <w:t>立即</w:t>
      </w:r>
      <w:r>
        <w:rPr>
          <w:rFonts w:hint="eastAsia" w:ascii="仿宋_GB2312" w:hAnsi="仿宋_GB2312" w:eastAsia="仿宋_GB2312" w:cs="仿宋_GB2312"/>
          <w:sz w:val="32"/>
          <w:szCs w:val="32"/>
          <w:lang w:eastAsia="zh-CN"/>
        </w:rPr>
        <w:t>将辐射事故信息向上报告市生态环境</w:t>
      </w:r>
      <w:r>
        <w:rPr>
          <w:rFonts w:hint="eastAsia" w:ascii="仿宋_GB2312" w:hAnsi="仿宋_GB2312" w:eastAsia="仿宋_GB2312" w:cs="仿宋_GB2312"/>
          <w:color w:val="auto"/>
          <w:sz w:val="32"/>
          <w:szCs w:val="32"/>
          <w:lang w:eastAsia="zh-CN"/>
        </w:rPr>
        <w:t>局、市公安局和市卫生健康局，直至省生态环境厅、省公安厅和省卫生健康委；</w:t>
      </w:r>
      <w:r>
        <w:rPr>
          <w:rFonts w:hint="eastAsia" w:ascii="仿宋_GB2312" w:hAnsi="仿宋_GB2312" w:eastAsia="仿宋_GB2312" w:cs="仿宋_GB2312"/>
          <w:sz w:val="32"/>
          <w:szCs w:val="32"/>
          <w:lang w:eastAsia="zh-CN"/>
        </w:rPr>
        <w:t>在发生特别重大（Ⅰ级）辐射事故的情况下，同时向生态环境部、公安部和卫生计生委报告。</w:t>
      </w:r>
    </w:p>
    <w:p w14:paraId="489719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区生态环境分局、公安分局、教育文化卫生健康局在接到各类辐射事故报告后，应同时将辐射事故信息报告区管委会。经市政府同意后授权由区管委会按照辐射事故应急预案的要求和辐射事故的严重程度，立即派人赶赴现场，进行现场调查，采取有效措施，控制并消除事故影响。</w:t>
      </w:r>
    </w:p>
    <w:p w14:paraId="37D795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）辐射事故已经或者可能涉及相邻行政区域的，区生态环境分局应当及时通报相邻区域同级的生态环境部门，并向区管委会提出向相邻区域人民政府通报的建议。</w:t>
      </w:r>
    </w:p>
    <w:p w14:paraId="430AE7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10" w:name="_Toc28557"/>
      <w:bookmarkStart w:id="111" w:name="_Toc20975"/>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辐射事故报告方式与内容</w:t>
      </w:r>
      <w:bookmarkEnd w:id="110"/>
      <w:bookmarkEnd w:id="111"/>
    </w:p>
    <w:p w14:paraId="3883BA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辐射事故的报告分为初报、续报和处理结果报告。</w:t>
      </w:r>
    </w:p>
    <w:p w14:paraId="64CC64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）初报在发现或者得知辐射事故后</w:t>
      </w:r>
      <w:r>
        <w:rPr>
          <w:rFonts w:hint="eastAsia" w:ascii="仿宋_GB2312" w:hAnsi="仿宋_GB2312" w:eastAsia="仿宋_GB2312" w:cs="仿宋_GB2312"/>
          <w:sz w:val="32"/>
          <w:szCs w:val="32"/>
          <w:lang w:val="en-US" w:eastAsia="zh-CN"/>
        </w:rPr>
        <w:t>立即</w:t>
      </w:r>
      <w:r>
        <w:rPr>
          <w:rFonts w:hint="eastAsia" w:ascii="仿宋_GB2312" w:hAnsi="仿宋_GB2312" w:eastAsia="仿宋_GB2312" w:cs="仿宋_GB2312"/>
          <w:sz w:val="32"/>
          <w:szCs w:val="32"/>
          <w:lang w:eastAsia="zh-CN"/>
        </w:rPr>
        <w:t>上报；续报在查清有关基本情况、事件发展情况后随时上报；处理结果报告在辐射事故处理完毕后上报。</w:t>
      </w:r>
    </w:p>
    <w:p w14:paraId="7A2E31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报可用电话、短信直接报告，初报报告主要内容包括：发生辐射事故的时间、地点、信息来源、原因和性质、基本过程、人员受害情况、事件潜在的危害程度、拟采取的措施以及下一步工作建议等初步情况，电话报告后应</w:t>
      </w:r>
      <w:r>
        <w:rPr>
          <w:rFonts w:hint="eastAsia" w:ascii="仿宋_GB2312" w:hAnsi="仿宋_GB2312" w:eastAsia="仿宋_GB2312" w:cs="仿宋_GB2312"/>
          <w:sz w:val="32"/>
          <w:szCs w:val="32"/>
          <w:lang w:val="en-US" w:eastAsia="zh-CN"/>
        </w:rPr>
        <w:t>立即</w:t>
      </w:r>
      <w:r>
        <w:rPr>
          <w:rFonts w:hint="eastAsia" w:ascii="仿宋_GB2312" w:hAnsi="仿宋_GB2312" w:eastAsia="仿宋_GB2312" w:cs="仿宋_GB2312"/>
          <w:sz w:val="32"/>
          <w:szCs w:val="32"/>
          <w:lang w:eastAsia="zh-CN"/>
        </w:rPr>
        <w:t>补填并报送《辐射事故初始报告表》。</w:t>
      </w:r>
    </w:p>
    <w:p w14:paraId="0865BF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）续报应当在初报的基础上，报告有关处置进展情况，以及事故发生的原因、过程、进展情况及采取的应急措施等基本情况。</w:t>
      </w:r>
    </w:p>
    <w:p w14:paraId="2BCB5F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处理结果报告采用书面报告，在初报和续报的基础上，报告处理事件的措施、过程和结果，事件潜在或间接的危害、社会影响、处理后的遗留问题，参加处理工作的有关部门和工作内容，责任追究、出具有关危害与损失的证明文件等详细情况。</w:t>
      </w:r>
    </w:p>
    <w:p w14:paraId="43713A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辐射事故的具体报告内容见附件。辐射事故信息应当采用传真、网络、邮寄和面呈等方式书面报告。</w:t>
      </w:r>
    </w:p>
    <w:p w14:paraId="45B5F0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12" w:name="_Toc18458"/>
      <w:bookmarkStart w:id="113" w:name="_Toc28589"/>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辐射事故信息报告格式</w:t>
      </w:r>
      <w:bookmarkEnd w:id="112"/>
      <w:bookmarkEnd w:id="113"/>
    </w:p>
    <w:p w14:paraId="2F4EC8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辐射事故信息报告格式按照上级生态环境部门要求</w:t>
      </w:r>
      <w:r>
        <w:rPr>
          <w:rFonts w:hint="eastAsia" w:ascii="仿宋_GB2312" w:hAnsi="仿宋_GB2312" w:eastAsia="仿宋_GB2312" w:cs="仿宋_GB2312"/>
          <w:sz w:val="32"/>
          <w:szCs w:val="32"/>
          <w:lang w:eastAsia="zh-CN"/>
        </w:rPr>
        <w:t>的规定处理。</w:t>
      </w:r>
    </w:p>
    <w:p w14:paraId="0BF8FC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14" w:name="_Toc21444"/>
      <w:r>
        <w:rPr>
          <w:rFonts w:hint="eastAsia" w:ascii="楷体" w:hAnsi="楷体" w:eastAsia="楷体" w:cs="楷体"/>
          <w:sz w:val="32"/>
          <w:szCs w:val="32"/>
          <w:lang w:eastAsia="zh-CN"/>
        </w:rPr>
        <w:t>（五）应急措施</w:t>
      </w:r>
      <w:bookmarkEnd w:id="114"/>
    </w:p>
    <w:p w14:paraId="5EF84D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15" w:name="_Toc13687"/>
      <w:bookmarkStart w:id="116" w:name="_Toc2927"/>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事发地单位应急措施</w:t>
      </w:r>
      <w:bookmarkEnd w:id="115"/>
      <w:bookmarkEnd w:id="116"/>
    </w:p>
    <w:p w14:paraId="0BEDB6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发生辐射事故的单位要及时停止导致或者可能导致辐射事故作业，主动向区生态环境分局、区公安分局和区教育文化卫生健康局等部门报告，对辐射事故现场进行保护，同时启动本单位的辐射事故应急预案。</w:t>
      </w:r>
    </w:p>
    <w:p w14:paraId="33B4C2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（2）向应急领导小组提供应急救援有关的基础资料，供应急领导小组制订救援和处置方案时参考。</w:t>
      </w:r>
    </w:p>
    <w:p w14:paraId="11ABB1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对可能受到辐射损伤的人员，应当立即送至指定的医院或者有条件救治辐射损伤病人的医疗机构进行检查和治疗，或者报请区教育文化卫生健康局指挥协调疾病预防控制机构派出专业人员赴事故现场，采取紧急医学救援措施。</w:t>
      </w:r>
    </w:p>
    <w:p w14:paraId="251F34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17" w:name="_Toc21689"/>
      <w:bookmarkStart w:id="118" w:name="_Toc2316"/>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应急领导小组应急措施</w:t>
      </w:r>
      <w:bookmarkEnd w:id="117"/>
      <w:bookmarkEnd w:id="118"/>
    </w:p>
    <w:p w14:paraId="0D89CC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辐射事故发生后，应急领导小组各成员按照职责分工做好相应的辐射事故应急工作，并向应急领导小组提供应急救援有关的基础资料：</w:t>
      </w:r>
    </w:p>
    <w:p w14:paraId="1B437F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区公安分局：</w:t>
      </w:r>
    </w:p>
    <w:p w14:paraId="38F036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（1）有权责令停止导致或者可能导致辐射事故作业，对受影响地区实施交通管制、治安保卫临时控制措施。让公众进入室内或留在室内、隐蔽、撤离；</w:t>
      </w:r>
    </w:p>
    <w:p w14:paraId="5BC88E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）负责丢失、被盗放射源的立案侦查和追缴。</w:t>
      </w:r>
    </w:p>
    <w:p w14:paraId="75E5C7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区生态环境分局：</w:t>
      </w:r>
    </w:p>
    <w:p w14:paraId="3BB6CE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（1）组织或协调组织对事故周围进行辐射环境监测，初步划定受污染区域；</w:t>
      </w:r>
    </w:p>
    <w:p w14:paraId="3E6A81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（2）协助公安局监控追缴丢失、被盗的放射源。</w:t>
      </w:r>
    </w:p>
    <w:p w14:paraId="692763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区教育文化卫生健康局：</w:t>
      </w:r>
    </w:p>
    <w:p w14:paraId="07AFB3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（1）惠州市职防院大亚湾分院带齐必要的应急药品、医疗器械、辐射防护装备、辐射测量仪器设备等；</w:t>
      </w:r>
    </w:p>
    <w:p w14:paraId="0D2A87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2）组织辐射事故紧急医学救援工作。分析工作人员和公众受到照射的可能途径；分析源项，确定受污染区域；初步确定受照、误照人员；现场初步估算污染区域内受照、误照人员的受照剂量；对受照、误照人员进行辐射受照职业病专项检查和治疗； </w:t>
      </w:r>
    </w:p>
    <w:p w14:paraId="2E01AB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（3）惠州市职防院大亚湾分院负责对有污染人员进行洗消去污；对洗消去污后仍有污染人员交医疗卫生救护人员处理。</w:t>
      </w:r>
    </w:p>
    <w:p w14:paraId="01DF7B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区财政国资金融局：</w:t>
      </w:r>
    </w:p>
    <w:p w14:paraId="37CA3B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在应急情况下，落实有关应急救援资金的调配，保障事故后恢复和辐射事故损害赔偿有关经费</w:t>
      </w:r>
      <w:r>
        <w:rPr>
          <w:rFonts w:hint="eastAsia" w:ascii="仿宋_GB2312" w:hAnsi="仿宋_GB2312" w:eastAsia="仿宋_GB2312" w:cs="仿宋_GB2312"/>
          <w:color w:val="auto"/>
          <w:sz w:val="32"/>
          <w:szCs w:val="32"/>
          <w:lang w:eastAsia="zh-CN"/>
        </w:rPr>
        <w:t>。</w:t>
      </w:r>
    </w:p>
    <w:p w14:paraId="7ACAB2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区社会事务管理局：</w:t>
      </w:r>
    </w:p>
    <w:p w14:paraId="276793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协助区公安分局转移、疏散受灾群众，必要时将受灾群众安置到应急庇护场所，同时加强农牧水产品质量安全监测。</w:t>
      </w:r>
    </w:p>
    <w:p w14:paraId="3CF46E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区市场监督管理局：</w:t>
      </w:r>
    </w:p>
    <w:p w14:paraId="5B7F94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highlight w:val="none"/>
          <w:lang w:val="en-US" w:eastAsia="zh-CN"/>
        </w:rPr>
      </w:pPr>
      <w:r>
        <w:rPr>
          <w:rFonts w:hint="eastAsia" w:ascii="仿宋_GB2312" w:hAnsi="仿宋_GB2312" w:eastAsia="仿宋_GB2312" w:cs="仿宋_GB2312"/>
          <w:sz w:val="32"/>
          <w:szCs w:val="32"/>
          <w:highlight w:val="none"/>
          <w:lang w:eastAsia="zh-CN"/>
        </w:rPr>
        <w:t>协同区公安分局控制受放射性污染的农副产品、食品和药品、饮用水。</w:t>
      </w:r>
    </w:p>
    <w:p w14:paraId="270AD6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19" w:name="_Toc29330"/>
      <w:r>
        <w:rPr>
          <w:rFonts w:hint="eastAsia" w:ascii="楷体" w:hAnsi="楷体" w:eastAsia="楷体" w:cs="楷体"/>
          <w:sz w:val="32"/>
          <w:szCs w:val="32"/>
          <w:lang w:eastAsia="zh-CN"/>
        </w:rPr>
        <w:t>（六）安全防护</w:t>
      </w:r>
      <w:bookmarkEnd w:id="119"/>
    </w:p>
    <w:p w14:paraId="7B7BE9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20" w:name="_Toc17243"/>
      <w:bookmarkStart w:id="121" w:name="_Toc3093"/>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现场处置人员的安全防护</w:t>
      </w:r>
      <w:bookmarkEnd w:id="120"/>
      <w:bookmarkEnd w:id="121"/>
    </w:p>
    <w:p w14:paraId="578010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现场处置人员应根据辐射事故的不同类型特点，配备相应的专业防护装备，采取安全防护措施，严格按照现场处置人员出入事发现场的程序执行，控制现场处置人员的辐射剂量，保护现场处置人员的人身安全。</w:t>
      </w:r>
    </w:p>
    <w:p w14:paraId="133CDA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22" w:name="_Toc26040"/>
      <w:bookmarkStart w:id="123" w:name="_Toc29843"/>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受影响群众的安全防护</w:t>
      </w:r>
      <w:bookmarkEnd w:id="122"/>
      <w:bookmarkEnd w:id="123"/>
    </w:p>
    <w:p w14:paraId="5BB2F1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（1）应急领导小组根据辐射事故的性质、特点，告知群众应采取的安全防护措施。</w:t>
      </w:r>
    </w:p>
    <w:p w14:paraId="49E130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（2）咨询应急专家根据事发时当地的气象、地理环境、人员密集度等，确定群众疏散的方式，由区公安分局、区社会事务管理局组织群众安全疏散撤离到紧急避难场所。</w:t>
      </w:r>
    </w:p>
    <w:p w14:paraId="2209879A">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outlineLvl w:val="1"/>
        <w:rPr>
          <w:rFonts w:hint="eastAsia" w:ascii="楷体" w:hAnsi="楷体" w:eastAsia="楷体" w:cs="楷体"/>
          <w:sz w:val="32"/>
          <w:szCs w:val="32"/>
          <w:lang w:eastAsia="zh-CN"/>
        </w:rPr>
      </w:pPr>
      <w:bookmarkStart w:id="124" w:name="_Toc12662"/>
      <w:r>
        <w:rPr>
          <w:rFonts w:hint="eastAsia" w:ascii="楷体" w:hAnsi="楷体" w:eastAsia="楷体" w:cs="楷体"/>
          <w:sz w:val="32"/>
          <w:szCs w:val="32"/>
          <w:lang w:eastAsia="zh-CN"/>
        </w:rPr>
        <w:t>（七）应急支援</w:t>
      </w:r>
      <w:bookmarkEnd w:id="124"/>
    </w:p>
    <w:p w14:paraId="482805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25" w:name="_Toc5992"/>
      <w:bookmarkStart w:id="126" w:name="_Toc14000"/>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应急辐射监测支援</w:t>
      </w:r>
      <w:bookmarkEnd w:id="125"/>
      <w:bookmarkEnd w:id="126"/>
    </w:p>
    <w:p w14:paraId="381983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在事故调查过程中，应急领导小组认为确定需要对环境进行核素种类、浓度进行采样测定时，由区生态环境分局请求省、市生态环境部门、省辐射监测中心给予支援。</w:t>
      </w:r>
    </w:p>
    <w:p w14:paraId="54585A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27" w:name="_Toc20655"/>
      <w:bookmarkStart w:id="128" w:name="_Toc28685"/>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放射性去污洗消支援</w:t>
      </w:r>
      <w:bookmarkEnd w:id="127"/>
      <w:bookmarkEnd w:id="128"/>
    </w:p>
    <w:p w14:paraId="67BFEB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事故调查过程中，发现放射性物质已散落，需进行清理、去污、洗消时（如不尽快处理，在下雨时，有可能会造成大面积的放射性污染），由区管委会提请市政府请求广东省核应急委派遣专家和去污、洗消队伍予以支援。</w:t>
      </w:r>
    </w:p>
    <w:p w14:paraId="5BF824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29" w:name="_Toc24754"/>
      <w:r>
        <w:rPr>
          <w:rFonts w:hint="eastAsia" w:ascii="楷体" w:hAnsi="楷体" w:eastAsia="楷体" w:cs="楷体"/>
          <w:sz w:val="32"/>
          <w:szCs w:val="32"/>
          <w:lang w:eastAsia="zh-CN"/>
        </w:rPr>
        <w:t>（八）信息发布</w:t>
      </w:r>
      <w:bookmarkEnd w:id="129"/>
    </w:p>
    <w:p w14:paraId="1284DD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应急领导小组应建立健全辐射事故信息公开制度和新闻发言人制度，经应急领导小组审核后由区综合办公室（宣传统战办公室）通过权威媒体向社会发布简要信息，做好舆论引导和舆情分析工作，加强对相关信息的核实、审查和管理，及时准确、主动引导，随后发布初步核实情况、政府应对措施和公共防范措施等，并根据辐射事故处置情况做好后续发布工作。</w:t>
      </w:r>
    </w:p>
    <w:p w14:paraId="2BB8B4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30" w:name="_Toc17812"/>
      <w:r>
        <w:rPr>
          <w:rFonts w:hint="eastAsia" w:ascii="楷体" w:hAnsi="楷体" w:eastAsia="楷体" w:cs="楷体"/>
          <w:sz w:val="32"/>
          <w:szCs w:val="32"/>
          <w:lang w:eastAsia="zh-CN"/>
        </w:rPr>
        <w:t>（九）应急终止</w:t>
      </w:r>
      <w:bookmarkEnd w:id="130"/>
    </w:p>
    <w:p w14:paraId="69857A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31" w:name="_Toc6928"/>
      <w:bookmarkStart w:id="132" w:name="_Toc16095"/>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应急状态的终止条件</w:t>
      </w:r>
      <w:bookmarkEnd w:id="131"/>
      <w:bookmarkEnd w:id="132"/>
    </w:p>
    <w:p w14:paraId="54A50A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（1）事故已得到控制，受放射性污染的区域已完成去污、洗消；或者被盗、遗失的密封放射源已找回；</w:t>
      </w:r>
    </w:p>
    <w:p w14:paraId="3DE809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（2）受放射性污染的区域已完成去污、洗消，经监测，辐射水平已经控制到可接受的水平；</w:t>
      </w:r>
    </w:p>
    <w:p w14:paraId="7F38D7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（3）已采取并将继续采取一切必要的防护措施，以保护公众免受污染。</w:t>
      </w:r>
    </w:p>
    <w:p w14:paraId="223668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33" w:name="_Toc24147"/>
      <w:bookmarkStart w:id="134" w:name="_Toc26392"/>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应急终止的程序</w:t>
      </w:r>
      <w:bookmarkEnd w:id="133"/>
      <w:bookmarkEnd w:id="134"/>
    </w:p>
    <w:p w14:paraId="4BD609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（1）由现场调查、监测以及论证评估后，专家咨询组向应急领导小组提出恢复阶段适宜的各种恢复措施、应急终止建议；</w:t>
      </w:r>
    </w:p>
    <w:p w14:paraId="78A685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（2）应急领导小组向处置辐射事故的单位下达应急终止命令；</w:t>
      </w:r>
    </w:p>
    <w:p w14:paraId="508121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（3）解除封锁；</w:t>
      </w:r>
    </w:p>
    <w:p w14:paraId="081CF1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（4）应急状态终止后，应急领导小组应根据有关指示和实际情况，决定是否继续进行环境监测和评价工作。</w:t>
      </w:r>
    </w:p>
    <w:p w14:paraId="056E4048">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14:paraId="7188C93E">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eastAsia="zh-CN"/>
        </w:rPr>
      </w:pPr>
      <w:bookmarkStart w:id="135" w:name="_Toc20049"/>
      <w:r>
        <w:rPr>
          <w:rFonts w:hint="eastAsia" w:ascii="黑体" w:hAnsi="黑体" w:eastAsia="黑体" w:cs="黑体"/>
          <w:sz w:val="32"/>
          <w:szCs w:val="32"/>
          <w:lang w:eastAsia="zh-CN"/>
        </w:rPr>
        <w:t>五、后期处置</w:t>
      </w:r>
      <w:bookmarkEnd w:id="135"/>
    </w:p>
    <w:p w14:paraId="5B268C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36" w:name="_Toc25706"/>
      <w:r>
        <w:rPr>
          <w:rFonts w:hint="eastAsia" w:ascii="楷体" w:hAnsi="楷体" w:eastAsia="楷体" w:cs="楷体"/>
          <w:sz w:val="32"/>
          <w:szCs w:val="32"/>
          <w:lang w:eastAsia="zh-CN"/>
        </w:rPr>
        <w:t>（一）善后处置</w:t>
      </w:r>
      <w:bookmarkEnd w:id="136"/>
    </w:p>
    <w:p w14:paraId="1A0389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善后处置包括人员安置补偿、征用物资补偿、受污染环境恢复、对严重受照射者进行长期、严密的医学观察和积极治疗等事项。</w:t>
      </w:r>
      <w:r>
        <w:rPr>
          <w:rFonts w:hint="eastAsia" w:ascii="仿宋_GB2312" w:hAnsi="仿宋_GB2312" w:eastAsia="仿宋_GB2312" w:cs="仿宋_GB2312"/>
          <w:color w:val="auto"/>
          <w:sz w:val="32"/>
          <w:szCs w:val="32"/>
          <w:highlight w:val="none"/>
          <w:lang w:eastAsia="zh-CN"/>
        </w:rPr>
        <w:t>由区管委会组织有关部门负责辐射事故的善后处置工作</w:t>
      </w:r>
      <w:r>
        <w:rPr>
          <w:rFonts w:hint="eastAsia" w:ascii="仿宋_GB2312" w:hAnsi="仿宋_GB2312" w:eastAsia="仿宋_GB2312" w:cs="仿宋_GB2312"/>
          <w:sz w:val="32"/>
          <w:szCs w:val="32"/>
          <w:lang w:eastAsia="zh-CN"/>
        </w:rPr>
        <w:t>。</w:t>
      </w:r>
    </w:p>
    <w:p w14:paraId="2A6FE7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37" w:name="_Toc15492"/>
      <w:r>
        <w:rPr>
          <w:rFonts w:hint="eastAsia" w:ascii="楷体" w:hAnsi="楷体" w:eastAsia="楷体" w:cs="楷体"/>
          <w:sz w:val="32"/>
          <w:szCs w:val="32"/>
          <w:lang w:eastAsia="zh-CN"/>
        </w:rPr>
        <w:t>（二）调查处理</w:t>
      </w:r>
      <w:bookmarkEnd w:id="137"/>
    </w:p>
    <w:p w14:paraId="27783C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区辐射事故领导小组办公室应组织协调相关职能部门，及时查明辐射事故的发生经过、原因、造成的损失，评价事故的后果；</w:t>
      </w:r>
    </w:p>
    <w:p w14:paraId="181A91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2.区生态环境主管部门、公安部门、卫生主管部门应当及时相互通报辐射事故应急响应、调查处理、定性定级、立案侦查和医疗应急情况。</w:t>
      </w:r>
    </w:p>
    <w:p w14:paraId="327ACB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详细调查事故应急全过程所采取的一切措施，总结经验教训；</w:t>
      </w:r>
    </w:p>
    <w:p w14:paraId="512186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完成事故应急的评价报告；</w:t>
      </w:r>
    </w:p>
    <w:p w14:paraId="187E4B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依法追究事故责任人的法律责任和经济责任。调查处理结果向区管委会和市生态环境局报告。</w:t>
      </w:r>
    </w:p>
    <w:p w14:paraId="34BCC351">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14:paraId="12FA41E3">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eastAsia="zh-CN"/>
        </w:rPr>
      </w:pPr>
      <w:bookmarkStart w:id="138" w:name="_Toc11255"/>
      <w:r>
        <w:rPr>
          <w:rFonts w:hint="eastAsia" w:ascii="黑体" w:hAnsi="黑体" w:eastAsia="黑体" w:cs="黑体"/>
          <w:sz w:val="32"/>
          <w:szCs w:val="32"/>
          <w:lang w:eastAsia="zh-CN"/>
        </w:rPr>
        <w:t>六、应急保障</w:t>
      </w:r>
      <w:bookmarkEnd w:id="138"/>
    </w:p>
    <w:p w14:paraId="1B0658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39" w:name="_Toc24971"/>
      <w:r>
        <w:rPr>
          <w:rFonts w:hint="eastAsia" w:ascii="楷体" w:hAnsi="楷体" w:eastAsia="楷体" w:cs="楷体"/>
          <w:sz w:val="32"/>
          <w:szCs w:val="32"/>
          <w:lang w:eastAsia="zh-CN"/>
        </w:rPr>
        <w:t>（一）人力保障</w:t>
      </w:r>
      <w:bookmarkEnd w:id="139"/>
    </w:p>
    <w:p w14:paraId="5339B3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生态环境分局要加强专业应急救援队伍建设；地方依托公安消防队伍或其他专业应急救援队伍，建立区突发辐射事故应急救援队伍；生产、销售、使用放射性同位素与射线装置的单位建立专职或者兼职的应急救援队伍。</w:t>
      </w:r>
    </w:p>
    <w:p w14:paraId="55A2E2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40" w:name="_Toc13177"/>
      <w:r>
        <w:rPr>
          <w:rFonts w:hint="eastAsia" w:ascii="楷体" w:hAnsi="楷体" w:eastAsia="楷体" w:cs="楷体"/>
          <w:sz w:val="32"/>
          <w:szCs w:val="32"/>
          <w:lang w:eastAsia="zh-CN"/>
        </w:rPr>
        <w:t>（二）资金保障</w:t>
      </w:r>
      <w:bookmarkEnd w:id="140"/>
    </w:p>
    <w:p w14:paraId="31BC80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区辐射事故应急领导小组成员单位及有关单位根据本部门应对辐射事故预防、预警、应急处置的需要，编制相应的辐射事故应急管理能力建设规划，编列年初部门预算待区管委会审批后执行。</w:t>
      </w:r>
    </w:p>
    <w:p w14:paraId="147823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突发事件应急预付和应急补偿所需经费列入突发事件应急主管部门的部门预算，按照</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lang w:eastAsia="zh-CN"/>
        </w:rPr>
        <w:t>程序</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sz w:val="32"/>
          <w:szCs w:val="32"/>
          <w:lang w:eastAsia="zh-CN"/>
        </w:rPr>
        <w:t>，区财政国资金融局予以经费下拨保障。</w:t>
      </w:r>
    </w:p>
    <w:p w14:paraId="2DDC62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41" w:name="_Toc10851"/>
      <w:r>
        <w:rPr>
          <w:rFonts w:hint="eastAsia" w:ascii="楷体" w:hAnsi="楷体" w:eastAsia="楷体" w:cs="楷体"/>
          <w:sz w:val="32"/>
          <w:szCs w:val="32"/>
          <w:lang w:eastAsia="zh-CN"/>
        </w:rPr>
        <w:t>（三）物资保障</w:t>
      </w:r>
      <w:bookmarkEnd w:id="141"/>
    </w:p>
    <w:p w14:paraId="498F8D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区财政国资金融局按照统筹规划、分级负责、统一调配、资源共享的原则，通过政府采购与政府补贴相结合，利用社会资源，探索多样化应急物资储备方式。</w:t>
      </w:r>
      <w:r>
        <w:rPr>
          <w:rFonts w:hint="eastAsia" w:ascii="仿宋_GB2312" w:hAnsi="仿宋_GB2312" w:eastAsia="仿宋_GB2312" w:cs="仿宋_GB2312"/>
          <w:sz w:val="32"/>
          <w:szCs w:val="32"/>
          <w:highlight w:val="none"/>
          <w:lang w:eastAsia="zh-CN"/>
        </w:rPr>
        <w:t>区经济发展和统计局根据救灾物资储备规划、品种目录和标准、年度购置计划，负责救灾物资的收储、轮换和日常管理，根据应急管理局的动用指令按程序组织调出。</w:t>
      </w:r>
      <w:r>
        <w:rPr>
          <w:rFonts w:hint="eastAsia" w:ascii="仿宋_GB2312" w:hAnsi="仿宋_GB2312" w:eastAsia="仿宋_GB2312" w:cs="仿宋_GB2312"/>
          <w:sz w:val="32"/>
          <w:szCs w:val="32"/>
          <w:lang w:eastAsia="zh-CN"/>
        </w:rPr>
        <w:t>加强应急监测设施设备建设，增加应急处置、快速机动及防护装备能力建设和物资储备。</w:t>
      </w:r>
    </w:p>
    <w:p w14:paraId="775CB4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42" w:name="_Toc29048"/>
      <w:r>
        <w:rPr>
          <w:rFonts w:hint="eastAsia" w:ascii="楷体" w:hAnsi="楷体" w:eastAsia="楷体" w:cs="楷体"/>
          <w:sz w:val="32"/>
          <w:szCs w:val="32"/>
          <w:lang w:eastAsia="zh-CN"/>
        </w:rPr>
        <w:t>（四）医疗卫生保障</w:t>
      </w:r>
      <w:bookmarkEnd w:id="142"/>
    </w:p>
    <w:p w14:paraId="207F4D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区教育文化卫生健康局要做好辐射事故的医疗卫生保障工作，建立健全辐射事故卫生应急仪器、设备装备和物资准备机制，指定医疗机构和放射卫生机构做好应急物资和装备储备，并及时更新或加强维护。</w:t>
      </w:r>
    </w:p>
    <w:p w14:paraId="253525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43" w:name="_Toc746"/>
      <w:r>
        <w:rPr>
          <w:rFonts w:hint="eastAsia" w:ascii="楷体" w:hAnsi="楷体" w:eastAsia="楷体" w:cs="楷体"/>
          <w:sz w:val="32"/>
          <w:szCs w:val="32"/>
          <w:lang w:eastAsia="zh-CN"/>
        </w:rPr>
        <w:t>（五）信息保障</w:t>
      </w:r>
      <w:bookmarkEnd w:id="143"/>
      <w:r>
        <w:rPr>
          <w:rFonts w:hint="eastAsia" w:ascii="楷体" w:hAnsi="楷体" w:eastAsia="楷体" w:cs="楷体"/>
          <w:sz w:val="32"/>
          <w:szCs w:val="32"/>
          <w:lang w:eastAsia="zh-CN"/>
        </w:rPr>
        <w:t xml:space="preserve"> </w:t>
      </w:r>
    </w:p>
    <w:p w14:paraId="6D5FA6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建立、健全并落实辐射事故信息收集、传递、处理、报送各环节的工作制度，完善各有关部门、单位已有的信息传输渠道，保持信息报送设施特别是现场应急通信系统性能完好，并配备必要的应急备用设施和技术力量，确保信息报送渠道的安全畅通。</w:t>
      </w:r>
    </w:p>
    <w:p w14:paraId="26428EC9">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14:paraId="6F7364CF">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eastAsia="zh-CN"/>
        </w:rPr>
      </w:pPr>
      <w:bookmarkStart w:id="144" w:name="_Toc7153"/>
      <w:r>
        <w:rPr>
          <w:rFonts w:hint="eastAsia" w:ascii="黑体" w:hAnsi="黑体" w:eastAsia="黑体" w:cs="黑体"/>
          <w:sz w:val="32"/>
          <w:szCs w:val="32"/>
          <w:lang w:eastAsia="zh-CN"/>
        </w:rPr>
        <w:t>七、监督管理</w:t>
      </w:r>
      <w:bookmarkEnd w:id="144"/>
    </w:p>
    <w:p w14:paraId="6EDAD7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45" w:name="_Toc9338"/>
      <w:r>
        <w:rPr>
          <w:rFonts w:hint="eastAsia" w:ascii="楷体" w:hAnsi="楷体" w:eastAsia="楷体" w:cs="楷体"/>
          <w:sz w:val="32"/>
          <w:szCs w:val="32"/>
          <w:lang w:eastAsia="zh-CN"/>
        </w:rPr>
        <w:t>（一）预案演练</w:t>
      </w:r>
      <w:bookmarkEnd w:id="145"/>
    </w:p>
    <w:p w14:paraId="462A4D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辐射事故应急领导小组成员单位、放射源和辐射技术应用单位要保持常备不懈，按照本预案和相关专项预案的要求，每年至少组织一次辐射事故应急演练，提高防范和处置辐射事故的技能，增强实战能力。并对应急预案演练结果进行评估，撰写演练评估报告，根据实际需要和情势变化，组织对辐射事故预案进行修订。</w:t>
      </w:r>
    </w:p>
    <w:p w14:paraId="0EE069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46" w:name="_Toc7410"/>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演练类别</w:t>
      </w:r>
      <w:bookmarkEnd w:id="146"/>
    </w:p>
    <w:p w14:paraId="42690C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应急演练分为单项演练、部分演练、综合演练</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个类别。</w:t>
      </w:r>
    </w:p>
    <w:p w14:paraId="5B0AC9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47" w:name="_Toc5757"/>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单项演练</w:t>
      </w:r>
      <w:bookmarkEnd w:id="147"/>
    </w:p>
    <w:p w14:paraId="5CCA5F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通讯演练；医疗救护演练；应急组织的人员到位演练。</w:t>
      </w:r>
    </w:p>
    <w:p w14:paraId="736354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48" w:name="_Toc30071"/>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部分演练</w:t>
      </w:r>
      <w:bookmarkEnd w:id="148"/>
    </w:p>
    <w:p w14:paraId="382494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部分演练是几种基本操作或几种任务的组合演练，常常包括对通讯能力的检验。</w:t>
      </w:r>
    </w:p>
    <w:p w14:paraId="059A64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49" w:name="_Toc22638"/>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综合演练</w:t>
      </w:r>
      <w:bookmarkEnd w:id="149"/>
    </w:p>
    <w:p w14:paraId="7DC163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综合演练是为全面检验应急计划，提高综合响应能力和水平而进行的演练，也叫全面演练。</w:t>
      </w:r>
    </w:p>
    <w:p w14:paraId="527EDB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50" w:name="_Toc18376"/>
      <w:r>
        <w:rPr>
          <w:rFonts w:hint="eastAsia" w:ascii="楷体" w:hAnsi="楷体" w:eastAsia="楷体" w:cs="楷体"/>
          <w:sz w:val="32"/>
          <w:szCs w:val="32"/>
          <w:lang w:eastAsia="zh-CN"/>
        </w:rPr>
        <w:t>（二）设施设备定期维护</w:t>
      </w:r>
      <w:bookmarkEnd w:id="150"/>
    </w:p>
    <w:p w14:paraId="3EE335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专用或兼容的辐射应急设施设备要定期维护、计量检定，以保持其随时可启用。</w:t>
      </w:r>
    </w:p>
    <w:p w14:paraId="786266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51" w:name="_Toc10538"/>
      <w:r>
        <w:rPr>
          <w:rFonts w:hint="eastAsia" w:ascii="楷体" w:hAnsi="楷体" w:eastAsia="楷体" w:cs="楷体"/>
          <w:sz w:val="32"/>
          <w:szCs w:val="32"/>
          <w:lang w:eastAsia="zh-CN"/>
        </w:rPr>
        <w:t>（三）培训和宣传教育</w:t>
      </w:r>
      <w:bookmarkEnd w:id="151"/>
    </w:p>
    <w:p w14:paraId="64737F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2" w:name="_Toc20005"/>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培训的目的</w:t>
      </w:r>
      <w:bookmarkEnd w:id="152"/>
    </w:p>
    <w:p w14:paraId="667880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培训的目的是使参与辐射事故应急的人员获得完成应急响应任务所需要的各种基本知识和技能，保证应急任务顺利完成。</w:t>
      </w:r>
    </w:p>
    <w:p w14:paraId="72D758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3" w:name="_Toc15741"/>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培训的对象</w:t>
      </w:r>
      <w:bookmarkEnd w:id="153"/>
    </w:p>
    <w:p w14:paraId="29F648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放射源和辐射技术应用单位的负责人、区辐射事故应急领导小组成员单位负责人员，以及参与事故应急工作的其他人员。</w:t>
      </w:r>
    </w:p>
    <w:p w14:paraId="15C241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4" w:name="_Toc26509"/>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培训的内容</w:t>
      </w:r>
      <w:bookmarkEnd w:id="154"/>
    </w:p>
    <w:p w14:paraId="324110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培训分为专业培训</w:t>
      </w:r>
      <w:r>
        <w:rPr>
          <w:rFonts w:hint="eastAsia" w:ascii="仿宋_GB2312" w:hAnsi="仿宋_GB2312" w:eastAsia="仿宋_GB2312" w:cs="仿宋_GB2312"/>
          <w:sz w:val="32"/>
          <w:szCs w:val="32"/>
          <w:highlight w:val="none"/>
          <w:lang w:eastAsia="zh-CN"/>
        </w:rPr>
        <w:t>和一般培训。</w:t>
      </w:r>
      <w:r>
        <w:rPr>
          <w:rFonts w:hint="eastAsia" w:ascii="仿宋_GB2312" w:hAnsi="仿宋_GB2312" w:eastAsia="仿宋_GB2312" w:cs="仿宋_GB2312"/>
          <w:sz w:val="32"/>
          <w:szCs w:val="32"/>
          <w:lang w:eastAsia="zh-CN"/>
        </w:rPr>
        <w:t>专业培训是对从事某项专业应急工作所需要的专业知识、操作技能的培训。</w:t>
      </w:r>
    </w:p>
    <w:p w14:paraId="08B320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5" w:name="_Toc2118"/>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培训的计划</w:t>
      </w:r>
      <w:bookmarkEnd w:id="155"/>
    </w:p>
    <w:p w14:paraId="250415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每年应对全体事故应急工作人员进行一次一般培训；</w:t>
      </w:r>
    </w:p>
    <w:p w14:paraId="29DB79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每两年应对从事某项专业应急工作的人员进行一次行业专业培训及整体专业培训。</w:t>
      </w:r>
    </w:p>
    <w:p w14:paraId="0CD465E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6" w:name="_Toc29650"/>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培训方法</w:t>
      </w:r>
      <w:bookmarkEnd w:id="156"/>
    </w:p>
    <w:p w14:paraId="55C2FA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课堂教学、必要的实际练习、散发和分送读物、观看录像、组织专题报告和技术讲座、组织外出参观学习等。</w:t>
      </w:r>
    </w:p>
    <w:p w14:paraId="5B2A73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57" w:name="_Toc2228"/>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宣传教育</w:t>
      </w:r>
      <w:bookmarkEnd w:id="157"/>
    </w:p>
    <w:p w14:paraId="30CF18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对需要公众广泛参与的非涉密的辐射事故应急预案，区综合办公室（宣传统战办公室）会同区生态环境分局应通过互联网、广播、电视、报刊等多种媒体广泛宣传；</w:t>
      </w:r>
    </w:p>
    <w:p w14:paraId="1D4FCC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民用核设施单位应对其人员进行辐射事故预防和辐射事故应急知识的专门教育，对其附近居民开展辐射事故预防和辐射事故应急知识的普及教育。</w:t>
      </w:r>
    </w:p>
    <w:p w14:paraId="467C55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58" w:name="_Toc16747"/>
      <w:r>
        <w:rPr>
          <w:rFonts w:hint="eastAsia" w:ascii="楷体" w:hAnsi="楷体" w:eastAsia="楷体" w:cs="楷体"/>
          <w:sz w:val="32"/>
          <w:szCs w:val="32"/>
          <w:lang w:eastAsia="zh-CN"/>
        </w:rPr>
        <w:t>（四）监督考核</w:t>
      </w:r>
      <w:bookmarkEnd w:id="158"/>
    </w:p>
    <w:p w14:paraId="404A1A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管委会及职能部门负责落实辐射事故应急预案体系中规定的职责，对各级辐射事故应急机构的设置情况、辐射事故应急预案的制定执行情况、工作制度和工作程序的建立与执行情况、队伍的建设和人员培训与考核情况等，应建立自上而下的监督、检查和考核工作机制。同时，应建立对应急装备和经费管理与使用情况等的审计监督制度。</w:t>
      </w:r>
    </w:p>
    <w:p w14:paraId="799F60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楷体" w:hAnsi="楷体" w:eastAsia="楷体" w:cs="楷体"/>
          <w:sz w:val="32"/>
          <w:szCs w:val="32"/>
          <w:lang w:eastAsia="zh-CN"/>
        </w:rPr>
      </w:pPr>
      <w:bookmarkStart w:id="159" w:name="_Toc30563"/>
      <w:r>
        <w:rPr>
          <w:rFonts w:hint="eastAsia" w:ascii="楷体" w:hAnsi="楷体" w:eastAsia="楷体" w:cs="楷体"/>
          <w:sz w:val="32"/>
          <w:szCs w:val="32"/>
          <w:lang w:eastAsia="zh-CN"/>
        </w:rPr>
        <w:t>（五）责任追究</w:t>
      </w:r>
      <w:bookmarkEnd w:id="159"/>
    </w:p>
    <w:p w14:paraId="485535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辐射事故应急工作实行行政领导负责制和责任追究制。</w:t>
      </w:r>
    </w:p>
    <w:p w14:paraId="5BDEB8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60" w:name="_Toc8852"/>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奖励</w:t>
      </w:r>
      <w:bookmarkEnd w:id="160"/>
    </w:p>
    <w:p w14:paraId="62AF78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在辐射事故应急工作中，有下列事迹之一的单位和个人，应依据有关规定给予奖励：</w:t>
      </w:r>
    </w:p>
    <w:p w14:paraId="079351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（1）完成辐射事故应急处置任务，成绩显著的；</w:t>
      </w:r>
    </w:p>
    <w:p w14:paraId="426A07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（2）在辐射事故应急处置中，使人民群众的生命财产免受或者减少损失的；</w:t>
      </w:r>
    </w:p>
    <w:p w14:paraId="14DD3A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（3）对辐射事故应急工作提出重大建议，实施效果显著的；</w:t>
      </w:r>
    </w:p>
    <w:p w14:paraId="6F4378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（4）有其他特殊贡献的。</w:t>
      </w:r>
    </w:p>
    <w:p w14:paraId="74D8D5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sz w:val="32"/>
          <w:szCs w:val="32"/>
          <w:lang w:eastAsia="zh-CN"/>
        </w:rPr>
      </w:pPr>
      <w:bookmarkStart w:id="161" w:name="_Toc12642"/>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责任追究</w:t>
      </w:r>
      <w:bookmarkEnd w:id="161"/>
    </w:p>
    <w:p w14:paraId="7D922E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在辐射事故应急工作中，有下列行为之一的，按照有关法律和规定，对有关责任人员视情节和危害后果，由其所在单位或者上级机关给予处分；构成犯罪的，由司法机关依法追究刑事责任：</w:t>
      </w:r>
    </w:p>
    <w:p w14:paraId="11C87E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（1）未认真履行生态环境法律、法规规定的义务，引发辐射事故的；</w:t>
      </w:r>
    </w:p>
    <w:p w14:paraId="1EFDC5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（2）未按照规定制定辐射事故应急预案，拒绝承担辐射事故应急准备义务的；</w:t>
      </w:r>
    </w:p>
    <w:p w14:paraId="4A85BE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（3）未按规定报告、通报辐射事故真实情况的；</w:t>
      </w:r>
    </w:p>
    <w:p w14:paraId="0BA5B1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（4）拒不执行辐射事故应急预案，不服从命令和指挥，或者在事件应急响应时临阵脱逃的；</w:t>
      </w:r>
    </w:p>
    <w:p w14:paraId="7655E8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（5）盗窃、贪污、挪用辐射事故应急工作资金、装备和物资的；</w:t>
      </w:r>
    </w:p>
    <w:p w14:paraId="65C305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（6）阻碍辐射事故应急工作人员依法执行公务或者进行破坏活动的；</w:t>
      </w:r>
    </w:p>
    <w:p w14:paraId="3F535F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（7）散布谣言、扰乱社会秩序的；</w:t>
      </w:r>
    </w:p>
    <w:p w14:paraId="059137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（8）对辐射事故应急工作造成其他危害的。</w:t>
      </w:r>
    </w:p>
    <w:p w14:paraId="755199A3">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br w:type="page"/>
      </w:r>
    </w:p>
    <w:p w14:paraId="0971F560">
      <w:pPr>
        <w:pStyle w:val="3"/>
        <w:spacing w:before="0" w:beforeLines="0" w:after="0" w:afterLines="0" w:line="520" w:lineRule="exact"/>
        <w:rPr>
          <w:rFonts w:hint="eastAsia" w:ascii="黑体" w:hAnsi="黑体" w:eastAsia="黑体" w:cs="黑体"/>
          <w:b w:val="0"/>
          <w:bCs w:val="0"/>
          <w:sz w:val="32"/>
          <w:szCs w:val="32"/>
        </w:rPr>
      </w:pPr>
      <w:bookmarkStart w:id="162" w:name="_Toc27709"/>
      <w:bookmarkStart w:id="163" w:name="_Toc11461"/>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附则</w:t>
      </w:r>
      <w:bookmarkEnd w:id="162"/>
      <w:bookmarkEnd w:id="163"/>
    </w:p>
    <w:p w14:paraId="3AE5C285">
      <w:pPr>
        <w:pStyle w:val="4"/>
        <w:spacing w:before="0" w:beforeLines="0" w:after="0" w:afterLines="0" w:line="520" w:lineRule="exact"/>
        <w:ind w:firstLine="640" w:firstLineChars="200"/>
        <w:rPr>
          <w:rFonts w:hint="eastAsia" w:ascii="楷体" w:hAnsi="楷体" w:eastAsia="楷体" w:cs="楷体"/>
          <w:b w:val="0"/>
          <w:bCs w:val="0"/>
        </w:rPr>
      </w:pPr>
      <w:bookmarkStart w:id="164" w:name="_Toc30825"/>
      <w:bookmarkStart w:id="165" w:name="_Toc29502"/>
      <w:bookmarkStart w:id="166" w:name="_Toc432493683"/>
      <w:bookmarkStart w:id="167" w:name="_Toc23403"/>
      <w:bookmarkStart w:id="168" w:name="_Toc22481"/>
      <w:r>
        <w:rPr>
          <w:rFonts w:hint="eastAsia" w:ascii="楷体" w:hAnsi="楷体" w:eastAsia="楷体" w:cs="楷体"/>
          <w:b w:val="0"/>
          <w:bCs w:val="0"/>
          <w:lang w:eastAsia="zh-CN"/>
        </w:rPr>
        <w:t>（一）</w:t>
      </w:r>
      <w:r>
        <w:rPr>
          <w:rFonts w:hint="eastAsia" w:ascii="楷体" w:hAnsi="楷体" w:eastAsia="楷体" w:cs="楷体"/>
          <w:b w:val="0"/>
          <w:bCs w:val="0"/>
        </w:rPr>
        <w:t>本应急预案的批准</w:t>
      </w:r>
      <w:bookmarkEnd w:id="164"/>
      <w:bookmarkEnd w:id="165"/>
      <w:bookmarkEnd w:id="166"/>
      <w:bookmarkEnd w:id="167"/>
      <w:bookmarkEnd w:id="168"/>
    </w:p>
    <w:p w14:paraId="3B1EF5F8">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依据《放射性同位素与射线装置安全和防护条例》第四十一条规定，由区</w:t>
      </w:r>
      <w:r>
        <w:rPr>
          <w:rFonts w:hint="eastAsia" w:ascii="仿宋_GB2312" w:hAnsi="仿宋_GB2312" w:eastAsia="仿宋_GB2312" w:cs="仿宋_GB2312"/>
          <w:sz w:val="32"/>
          <w:szCs w:val="32"/>
          <w:lang w:eastAsia="zh-CN"/>
        </w:rPr>
        <w:t>生态环境分局</w:t>
      </w:r>
      <w:r>
        <w:rPr>
          <w:rFonts w:hint="eastAsia" w:ascii="仿宋_GB2312" w:hAnsi="仿宋_GB2312" w:eastAsia="仿宋_GB2312" w:cs="仿宋_GB2312"/>
          <w:sz w:val="32"/>
          <w:szCs w:val="32"/>
        </w:rPr>
        <w:t>会同区公安</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局、区教育文化卫生健康局、区财政国资金融局等部门编制辐射事故应急预案，经专家评估后，报区管委会批准。</w:t>
      </w:r>
    </w:p>
    <w:p w14:paraId="2A5BDA9B">
      <w:pPr>
        <w:pStyle w:val="4"/>
        <w:spacing w:before="0" w:beforeLines="0" w:after="0" w:afterLines="0" w:line="520" w:lineRule="exact"/>
        <w:ind w:firstLine="640" w:firstLineChars="200"/>
        <w:rPr>
          <w:rFonts w:hint="eastAsia" w:ascii="楷体" w:hAnsi="楷体" w:eastAsia="楷体" w:cs="楷体"/>
          <w:b w:val="0"/>
          <w:bCs w:val="0"/>
        </w:rPr>
      </w:pPr>
      <w:bookmarkStart w:id="169" w:name="_Toc10683"/>
      <w:bookmarkStart w:id="170" w:name="_Toc432493684"/>
      <w:bookmarkStart w:id="171" w:name="_Toc6330"/>
      <w:bookmarkStart w:id="172" w:name="_Toc31876"/>
      <w:bookmarkStart w:id="173" w:name="_Toc1197"/>
      <w:r>
        <w:rPr>
          <w:rFonts w:hint="eastAsia" w:ascii="楷体" w:hAnsi="楷体" w:eastAsia="楷体" w:cs="楷体"/>
          <w:b w:val="0"/>
          <w:bCs w:val="0"/>
          <w:lang w:eastAsia="zh-CN"/>
        </w:rPr>
        <w:t>（二）</w:t>
      </w:r>
      <w:r>
        <w:rPr>
          <w:rFonts w:hint="eastAsia" w:ascii="楷体" w:hAnsi="楷体" w:eastAsia="楷体" w:cs="楷体"/>
          <w:b w:val="0"/>
          <w:bCs w:val="0"/>
        </w:rPr>
        <w:t>本应急预案的修订</w:t>
      </w:r>
      <w:bookmarkEnd w:id="169"/>
      <w:bookmarkEnd w:id="170"/>
      <w:bookmarkEnd w:id="171"/>
      <w:bookmarkEnd w:id="172"/>
      <w:bookmarkEnd w:id="173"/>
    </w:p>
    <w:p w14:paraId="3B63B60B">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有下列情形之一的，应当及时修订本预案，修订后报区管委会批准：</w:t>
      </w:r>
    </w:p>
    <w:p w14:paraId="14D9037A">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有关法律、行政法规、规章、标准、上位预案中的有关规定发生变化的；</w:t>
      </w:r>
    </w:p>
    <w:p w14:paraId="2DE6D731">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应急指挥机构及其职责发生重大调整的；</w:t>
      </w:r>
    </w:p>
    <w:p w14:paraId="1E17605A">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面临的风险发生重大变化的；</w:t>
      </w:r>
    </w:p>
    <w:p w14:paraId="6B8146BD">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重要应急资源发生重大变化的；</w:t>
      </w:r>
    </w:p>
    <w:p w14:paraId="12A86BC0">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预案中的其他重要信息发生变化的；</w:t>
      </w:r>
    </w:p>
    <w:p w14:paraId="58BE83FA">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在突发事件实际应对和应急演练中发现问题，需要作出重大调整的；</w:t>
      </w:r>
    </w:p>
    <w:p w14:paraId="5EB6FD81">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应急预案制定单位认为应当修订的其他情况。</w:t>
      </w:r>
    </w:p>
    <w:p w14:paraId="60E15195">
      <w:pPr>
        <w:pStyle w:val="4"/>
        <w:spacing w:before="0" w:beforeLines="0" w:after="0" w:afterLines="0" w:line="520" w:lineRule="exact"/>
        <w:ind w:firstLine="640" w:firstLineChars="200"/>
        <w:rPr>
          <w:rFonts w:hint="eastAsia" w:ascii="楷体" w:hAnsi="楷体" w:eastAsia="楷体" w:cs="楷体"/>
          <w:b w:val="0"/>
          <w:bCs w:val="0"/>
          <w:lang w:eastAsia="zh-CN"/>
        </w:rPr>
      </w:pPr>
      <w:bookmarkStart w:id="174" w:name="_Toc31319"/>
      <w:bookmarkStart w:id="175" w:name="_Toc6604"/>
      <w:bookmarkStart w:id="176" w:name="_Toc432493685"/>
      <w:bookmarkStart w:id="177" w:name="_Toc9896"/>
      <w:bookmarkStart w:id="178" w:name="_Toc10812"/>
      <w:r>
        <w:rPr>
          <w:rFonts w:hint="eastAsia" w:ascii="楷体" w:hAnsi="楷体" w:eastAsia="楷体" w:cs="楷体"/>
          <w:b w:val="0"/>
          <w:bCs w:val="0"/>
          <w:lang w:eastAsia="zh-CN"/>
        </w:rPr>
        <w:t>（三）预案解释部门</w:t>
      </w:r>
      <w:bookmarkEnd w:id="174"/>
      <w:bookmarkEnd w:id="175"/>
      <w:bookmarkEnd w:id="176"/>
      <w:bookmarkEnd w:id="177"/>
      <w:bookmarkEnd w:id="178"/>
    </w:p>
    <w:p w14:paraId="7BD61D6B">
      <w:pPr>
        <w:spacing w:line="520" w:lineRule="exact"/>
        <w:ind w:firstLine="640" w:firstLineChars="200"/>
        <w:rPr>
          <w:rFonts w:hint="eastAsia" w:ascii="仿宋" w:hAnsi="仿宋" w:eastAsia="仿宋"/>
          <w:color w:val="auto"/>
          <w:sz w:val="32"/>
          <w:szCs w:val="32"/>
        </w:rPr>
      </w:pPr>
      <w:r>
        <w:rPr>
          <w:rFonts w:hint="eastAsia" w:ascii="仿宋" w:hAnsi="仿宋" w:eastAsia="仿宋" w:cs="仿宋_GB2312"/>
          <w:color w:val="auto"/>
          <w:sz w:val="32"/>
          <w:szCs w:val="32"/>
        </w:rPr>
        <w:t>本预案</w:t>
      </w:r>
      <w:r>
        <w:rPr>
          <w:rFonts w:hint="eastAsia" w:ascii="仿宋" w:hAnsi="仿宋" w:eastAsia="仿宋" w:cs="仿宋_GB2312"/>
          <w:color w:val="auto"/>
          <w:sz w:val="32"/>
          <w:szCs w:val="32"/>
          <w:lang w:eastAsia="zh-CN"/>
        </w:rPr>
        <w:t>由</w:t>
      </w:r>
      <w:r>
        <w:rPr>
          <w:rFonts w:hint="eastAsia" w:ascii="仿宋" w:hAnsi="仿宋" w:eastAsia="仿宋" w:cs="仿宋_GB2312"/>
          <w:color w:val="auto"/>
          <w:sz w:val="32"/>
          <w:szCs w:val="32"/>
        </w:rPr>
        <w:t>区管委会</w:t>
      </w:r>
      <w:r>
        <w:rPr>
          <w:rFonts w:hint="eastAsia" w:ascii="仿宋" w:hAnsi="仿宋" w:eastAsia="仿宋" w:cs="仿宋_GB2312"/>
          <w:color w:val="auto"/>
          <w:sz w:val="32"/>
          <w:szCs w:val="32"/>
          <w:lang w:eastAsia="zh-CN"/>
        </w:rPr>
        <w:t>组织</w:t>
      </w:r>
      <w:r>
        <w:rPr>
          <w:rFonts w:hint="eastAsia" w:ascii="仿宋" w:hAnsi="仿宋" w:eastAsia="仿宋" w:cs="仿宋_GB2312"/>
          <w:color w:val="auto"/>
          <w:sz w:val="32"/>
          <w:szCs w:val="32"/>
        </w:rPr>
        <w:t>修订，由</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生态环境分局</w:t>
      </w:r>
      <w:r>
        <w:rPr>
          <w:rFonts w:hint="eastAsia" w:ascii="仿宋" w:hAnsi="仿宋" w:eastAsia="仿宋" w:cs="仿宋_GB2312"/>
          <w:color w:val="auto"/>
          <w:sz w:val="32"/>
          <w:szCs w:val="32"/>
        </w:rPr>
        <w:t>负责解释与组织实施。</w:t>
      </w:r>
    </w:p>
    <w:p w14:paraId="12093F5C">
      <w:pPr>
        <w:pStyle w:val="4"/>
        <w:spacing w:before="0" w:beforeLines="0" w:after="0" w:afterLines="0" w:line="520" w:lineRule="exact"/>
        <w:ind w:firstLine="640" w:firstLineChars="200"/>
        <w:rPr>
          <w:rFonts w:hint="eastAsia" w:ascii="楷体" w:hAnsi="楷体" w:eastAsia="楷体" w:cs="楷体"/>
          <w:b w:val="0"/>
          <w:bCs w:val="0"/>
          <w:lang w:eastAsia="zh-CN"/>
        </w:rPr>
      </w:pPr>
      <w:bookmarkStart w:id="179" w:name="_Toc26907"/>
      <w:bookmarkStart w:id="180" w:name="_Toc24723"/>
      <w:bookmarkStart w:id="181" w:name="_Toc432493608"/>
      <w:bookmarkStart w:id="182" w:name="_Toc18868"/>
      <w:bookmarkStart w:id="183" w:name="_Toc1132"/>
      <w:bookmarkStart w:id="184" w:name="_Toc19580"/>
      <w:r>
        <w:rPr>
          <w:rFonts w:hint="eastAsia" w:ascii="楷体" w:hAnsi="楷体" w:eastAsia="楷体" w:cs="楷体"/>
          <w:b w:val="0"/>
          <w:bCs w:val="0"/>
          <w:lang w:eastAsia="zh-CN"/>
        </w:rPr>
        <w:t>（四）本应急预案关系说明</w:t>
      </w:r>
      <w:bookmarkEnd w:id="179"/>
      <w:bookmarkEnd w:id="180"/>
      <w:bookmarkEnd w:id="181"/>
      <w:bookmarkEnd w:id="182"/>
      <w:bookmarkEnd w:id="183"/>
      <w:bookmarkEnd w:id="184"/>
    </w:p>
    <w:p w14:paraId="1566FB03">
      <w:pPr>
        <w:spacing w:line="5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本应急预案是区突发公共事件总体应急预案的专项应急预案。</w:t>
      </w:r>
    </w:p>
    <w:p w14:paraId="33AFAA2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r>
        <w:rPr>
          <w:sz w:val="21"/>
        </w:rPr>
        <mc:AlternateContent>
          <mc:Choice Requires="wpg">
            <w:drawing>
              <wp:anchor distT="0" distB="0" distL="114300" distR="114300" simplePos="0" relativeHeight="251660288" behindDoc="0" locked="0" layoutInCell="1" allowOverlap="1">
                <wp:simplePos x="0" y="0"/>
                <wp:positionH relativeFrom="column">
                  <wp:posOffset>372110</wp:posOffset>
                </wp:positionH>
                <wp:positionV relativeFrom="paragraph">
                  <wp:posOffset>128270</wp:posOffset>
                </wp:positionV>
                <wp:extent cx="4872990" cy="4371340"/>
                <wp:effectExtent l="4445" t="4445" r="14605" b="13335"/>
                <wp:wrapNone/>
                <wp:docPr id="124" name="组合 124"/>
                <wp:cNvGraphicFramePr/>
                <a:graphic xmlns:a="http://schemas.openxmlformats.org/drawingml/2006/main">
                  <a:graphicData uri="http://schemas.microsoft.com/office/word/2010/wordprocessingGroup">
                    <wpg:wgp>
                      <wpg:cNvGrpSpPr/>
                      <wpg:grpSpPr>
                        <a:xfrm>
                          <a:off x="0" y="0"/>
                          <a:ext cx="4872990" cy="4371340"/>
                          <a:chOff x="1930" y="516203"/>
                          <a:chExt cx="7674" cy="6884"/>
                        </a:xfrm>
                      </wpg:grpSpPr>
                      <wpg:grpSp>
                        <wpg:cNvPr id="16" name="组合 16"/>
                        <wpg:cNvGrpSpPr/>
                        <wpg:grpSpPr>
                          <a:xfrm>
                            <a:off x="1930" y="516203"/>
                            <a:ext cx="7674" cy="6884"/>
                            <a:chOff x="3828" y="499647"/>
                            <a:chExt cx="7674" cy="6884"/>
                          </a:xfrm>
                        </wpg:grpSpPr>
                        <wps:wsp>
                          <wps:cNvPr id="1" name="矩形 1"/>
                          <wps:cNvSpPr/>
                          <wps:spPr>
                            <a:xfrm>
                              <a:off x="6168" y="499647"/>
                              <a:ext cx="3495"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8EC4DE">
                                <w:pPr>
                                  <w:adjustRightInd w:val="0"/>
                                  <w:snapToGrid w:val="0"/>
                                  <w:jc w:val="center"/>
                                  <w:rPr>
                                    <w:rFonts w:ascii="Times New Roman"/>
                                    <w:snapToGrid w:val="0"/>
                                    <w:kern w:val="0"/>
                                    <w:sz w:val="24"/>
                                    <w:szCs w:val="24"/>
                                  </w:rPr>
                                </w:pPr>
                                <w:r>
                                  <w:rPr>
                                    <w:rFonts w:hint="eastAsia"/>
                                    <w:snapToGrid w:val="0"/>
                                    <w:color w:val="000000"/>
                                    <w:kern w:val="0"/>
                                    <w:sz w:val="24"/>
                                    <w:szCs w:val="24"/>
                                  </w:rPr>
                                  <w:t>区突发公共事件总体应急预案</w:t>
                                </w:r>
                              </w:p>
                            </w:txbxContent>
                          </wps:txbx>
                          <wps:bodyPr upright="1"/>
                        </wps:wsp>
                        <wps:wsp>
                          <wps:cNvPr id="2" name="矩形 2"/>
                          <wps:cNvSpPr/>
                          <wps:spPr>
                            <a:xfrm>
                              <a:off x="3828" y="506066"/>
                              <a:ext cx="7674"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8BC3E6">
                                <w:pPr>
                                  <w:adjustRightInd w:val="0"/>
                                  <w:snapToGrid w:val="0"/>
                                  <w:jc w:val="center"/>
                                  <w:rPr>
                                    <w:rFonts w:ascii="Times New Roman"/>
                                    <w:snapToGrid w:val="0"/>
                                    <w:kern w:val="0"/>
                                    <w:sz w:val="24"/>
                                    <w:szCs w:val="24"/>
                                  </w:rPr>
                                </w:pPr>
                                <w:r>
                                  <w:rPr>
                                    <w:rFonts w:hint="eastAsia" w:hAnsi="宋体" w:cs="宋体"/>
                                    <w:snapToGrid w:val="0"/>
                                    <w:kern w:val="0"/>
                                    <w:sz w:val="24"/>
                                  </w:rPr>
                                  <w:t>生产、销售、使用放射性同位素和射线装置的单位的辐射事故应急预案</w:t>
                                </w:r>
                              </w:p>
                            </w:txbxContent>
                          </wps:txbx>
                          <wps:bodyPr upright="1"/>
                        </wps:wsp>
                        <wps:wsp>
                          <wps:cNvPr id="3" name="矩形 3"/>
                          <wps:cNvSpPr/>
                          <wps:spPr>
                            <a:xfrm>
                              <a:off x="4461" y="501161"/>
                              <a:ext cx="763" cy="395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06E8DA">
                                <w:pPr>
                                  <w:adjustRightInd w:val="0"/>
                                  <w:snapToGrid w:val="0"/>
                                  <w:jc w:val="center"/>
                                  <w:rPr>
                                    <w:rFonts w:ascii="Times New Roman"/>
                                    <w:snapToGrid w:val="0"/>
                                    <w:kern w:val="0"/>
                                    <w:sz w:val="24"/>
                                    <w:szCs w:val="24"/>
                                  </w:rPr>
                                </w:pPr>
                                <w:r>
                                  <w:rPr>
                                    <w:rFonts w:hint="eastAsia" w:ascii="Times New Roman"/>
                                    <w:snapToGrid w:val="0"/>
                                    <w:kern w:val="0"/>
                                    <w:sz w:val="24"/>
                                    <w:szCs w:val="24"/>
                                  </w:rPr>
                                  <w:t>大亚湾区突发环境事件</w:t>
                                </w:r>
                                <w:r>
                                  <w:rPr>
                                    <w:rFonts w:ascii="Times New Roman"/>
                                    <w:snapToGrid w:val="0"/>
                                    <w:kern w:val="0"/>
                                    <w:sz w:val="24"/>
                                    <w:szCs w:val="24"/>
                                  </w:rPr>
                                  <w:t>应急预案</w:t>
                                </w:r>
                              </w:p>
                            </w:txbxContent>
                          </wps:txbx>
                          <wps:bodyPr vert="eaVert" upright="1"/>
                        </wps:wsp>
                        <wps:wsp>
                          <wps:cNvPr id="6" name="矩形 6"/>
                          <wps:cNvSpPr/>
                          <wps:spPr>
                            <a:xfrm>
                              <a:off x="5681" y="501166"/>
                              <a:ext cx="930" cy="33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195FE8">
                                <w:pPr>
                                  <w:adjustRightInd w:val="0"/>
                                  <w:snapToGrid w:val="0"/>
                                  <w:rPr>
                                    <w:rFonts w:ascii="Times New Roman"/>
                                    <w:bCs/>
                                    <w:snapToGrid w:val="0"/>
                                    <w:color w:val="000000"/>
                                    <w:kern w:val="0"/>
                                    <w:sz w:val="24"/>
                                    <w:szCs w:val="24"/>
                                  </w:rPr>
                                </w:pPr>
                                <w:r>
                                  <w:rPr>
                                    <w:rFonts w:hint="eastAsia" w:ascii="Times New Roman"/>
                                    <w:bCs/>
                                    <w:sz w:val="24"/>
                                    <w:szCs w:val="24"/>
                                  </w:rPr>
                                  <w:t>大亚湾区</w:t>
                                </w:r>
                                <w:r>
                                  <w:rPr>
                                    <w:rFonts w:ascii="Times New Roman"/>
                                    <w:bCs/>
                                    <w:sz w:val="24"/>
                                    <w:szCs w:val="24"/>
                                  </w:rPr>
                                  <w:t>集中式饮用水水源地水质污染事件应急处置方案</w:t>
                                </w:r>
                              </w:p>
                            </w:txbxContent>
                          </wps:txbx>
                          <wps:bodyPr vert="eaVert" upright="1"/>
                        </wps:wsp>
                        <wps:wsp>
                          <wps:cNvPr id="7" name="矩形 7"/>
                          <wps:cNvSpPr/>
                          <wps:spPr>
                            <a:xfrm>
                              <a:off x="7293" y="501164"/>
                              <a:ext cx="754" cy="368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10A08F">
                                <w:pPr>
                                  <w:adjustRightInd w:val="0"/>
                                  <w:snapToGrid w:val="0"/>
                                  <w:jc w:val="center"/>
                                  <w:rPr>
                                    <w:rFonts w:ascii="Times New Roman"/>
                                    <w:snapToGrid w:val="0"/>
                                    <w:kern w:val="0"/>
                                    <w:sz w:val="24"/>
                                    <w:szCs w:val="24"/>
                                  </w:rPr>
                                </w:pPr>
                                <w:r>
                                  <w:rPr>
                                    <w:sz w:val="24"/>
                                    <w:szCs w:val="24"/>
                                  </w:rPr>
                                  <w:t>惠州</w:t>
                                </w:r>
                                <w:r>
                                  <w:rPr>
                                    <w:rFonts w:hint="eastAsia"/>
                                    <w:sz w:val="24"/>
                                    <w:szCs w:val="24"/>
                                  </w:rPr>
                                  <w:t>大亚湾区</w:t>
                                </w:r>
                                <w:r>
                                  <w:rPr>
                                    <w:sz w:val="24"/>
                                    <w:szCs w:val="24"/>
                                  </w:rPr>
                                  <w:t>辐射事故应急预</w:t>
                                </w:r>
                                <w:r>
                                  <w:rPr>
                                    <w:rFonts w:ascii="Times New Roman"/>
                                    <w:snapToGrid w:val="0"/>
                                    <w:kern w:val="0"/>
                                    <w:sz w:val="24"/>
                                    <w:szCs w:val="24"/>
                                  </w:rPr>
                                  <w:t>案</w:t>
                                </w:r>
                              </w:p>
                            </w:txbxContent>
                          </wps:txbx>
                          <wps:bodyPr vert="eaVert" upright="1"/>
                        </wps:wsp>
                        <wps:wsp>
                          <wps:cNvPr id="8" name="矩形 8"/>
                          <wps:cNvSpPr/>
                          <wps:spPr>
                            <a:xfrm>
                              <a:off x="8800" y="501172"/>
                              <a:ext cx="720" cy="4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8BE1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snapToGrid w:val="0"/>
                                    <w:kern w:val="0"/>
                                    <w:sz w:val="24"/>
                                    <w:szCs w:val="24"/>
                                  </w:rPr>
                                </w:pPr>
                                <w:r>
                                  <w:rPr>
                                    <w:rFonts w:hint="eastAsia" w:ascii="Times New Roman"/>
                                    <w:snapToGrid w:val="0"/>
                                    <w:kern w:val="0"/>
                                    <w:sz w:val="24"/>
                                    <w:szCs w:val="24"/>
                                  </w:rPr>
                                  <w:t>惠州大亚湾经济技术开发区核事故应急预案</w:t>
                                </w:r>
                              </w:p>
                            </w:txbxContent>
                          </wps:txbx>
                          <wps:bodyPr vert="eaVert" upright="1"/>
                        </wps:wsp>
                        <wps:wsp>
                          <wps:cNvPr id="11" name="矩形 11"/>
                          <wps:cNvSpPr/>
                          <wps:spPr>
                            <a:xfrm>
                              <a:off x="10633" y="501167"/>
                              <a:ext cx="748" cy="3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5EDC50">
                                <w:pPr>
                                  <w:adjustRightInd w:val="0"/>
                                  <w:snapToGrid w:val="0"/>
                                  <w:jc w:val="center"/>
                                  <w:rPr>
                                    <w:rFonts w:ascii="Times New Roman"/>
                                    <w:snapToGrid w:val="0"/>
                                    <w:kern w:val="0"/>
                                    <w:sz w:val="24"/>
                                    <w:szCs w:val="24"/>
                                  </w:rPr>
                                </w:pPr>
                                <w:r>
                                  <w:rPr>
                                    <w:rFonts w:ascii="Times New Roman"/>
                                    <w:snapToGrid w:val="0"/>
                                    <w:kern w:val="0"/>
                                    <w:sz w:val="24"/>
                                    <w:szCs w:val="24"/>
                                  </w:rPr>
                                  <w:t>惠州</w:t>
                                </w:r>
                                <w:r>
                                  <w:rPr>
                                    <w:rFonts w:hint="eastAsia" w:ascii="Times New Roman"/>
                                    <w:snapToGrid w:val="0"/>
                                    <w:kern w:val="0"/>
                                    <w:sz w:val="24"/>
                                    <w:szCs w:val="24"/>
                                  </w:rPr>
                                  <w:t>大亚湾区其他专项应急预案</w:t>
                                </w:r>
                              </w:p>
                            </w:txbxContent>
                          </wps:txbx>
                          <wps:bodyPr vert="eaVert" upright="1"/>
                        </wps:wsp>
                      </wpg:grpSp>
                      <wps:wsp>
                        <wps:cNvPr id="117" name="肘形连接符 117"/>
                        <wps:cNvCnPr>
                          <a:stCxn id="1" idx="2"/>
                          <a:endCxn id="3" idx="0"/>
                        </wps:cNvCnPr>
                        <wps:spPr>
                          <a:xfrm rot="5400000">
                            <a:off x="3957" y="515656"/>
                            <a:ext cx="1049" cy="3073"/>
                          </a:xfrm>
                          <a:prstGeom prst="bentConnector3">
                            <a:avLst>
                              <a:gd name="adj1" fmla="val 50048"/>
                            </a:avLst>
                          </a:prstGeom>
                          <a:ln>
                            <a:tailEnd type="triangle" w="med" len="med"/>
                          </a:ln>
                        </wps:spPr>
                        <wps:style>
                          <a:lnRef idx="2">
                            <a:schemeClr val="dk1"/>
                          </a:lnRef>
                          <a:fillRef idx="0">
                            <a:schemeClr val="dk1"/>
                          </a:fillRef>
                          <a:effectRef idx="1">
                            <a:schemeClr val="dk1"/>
                          </a:effectRef>
                          <a:fontRef idx="minor">
                            <a:schemeClr val="tx1"/>
                          </a:fontRef>
                        </wps:style>
                        <wps:bodyPr/>
                      </wps:wsp>
                      <wps:wsp>
                        <wps:cNvPr id="118" name="肘形连接符 118"/>
                        <wps:cNvCnPr>
                          <a:stCxn id="1" idx="2"/>
                          <a:endCxn id="6" idx="0"/>
                        </wps:cNvCnPr>
                        <wps:spPr>
                          <a:xfrm rot="5400000">
                            <a:off x="4606" y="516310"/>
                            <a:ext cx="1054" cy="1770"/>
                          </a:xfrm>
                          <a:prstGeom prst="bentConnector3">
                            <a:avLst>
                              <a:gd name="adj1" fmla="val 50000"/>
                            </a:avLst>
                          </a:prstGeom>
                          <a:ln>
                            <a:tailEnd type="triangle" w="med" len="med"/>
                          </a:ln>
                        </wps:spPr>
                        <wps:style>
                          <a:lnRef idx="2">
                            <a:schemeClr val="dk1"/>
                          </a:lnRef>
                          <a:fillRef idx="0">
                            <a:schemeClr val="dk1"/>
                          </a:fillRef>
                          <a:effectRef idx="1">
                            <a:schemeClr val="dk1"/>
                          </a:effectRef>
                          <a:fontRef idx="minor">
                            <a:schemeClr val="tx1"/>
                          </a:fontRef>
                        </wps:style>
                        <wps:bodyPr/>
                      </wps:wsp>
                      <wps:wsp>
                        <wps:cNvPr id="119" name="肘形连接符 119"/>
                        <wps:cNvCnPr>
                          <a:stCxn id="1" idx="2"/>
                          <a:endCxn id="7" idx="0"/>
                        </wps:cNvCnPr>
                        <wps:spPr>
                          <a:xfrm rot="5400000">
                            <a:off x="5369" y="517071"/>
                            <a:ext cx="1052" cy="246"/>
                          </a:xfrm>
                          <a:prstGeom prst="bentConnector3">
                            <a:avLst>
                              <a:gd name="adj1" fmla="val 50000"/>
                            </a:avLst>
                          </a:prstGeom>
                          <a:ln>
                            <a:tailEnd type="triangle" w="med" len="med"/>
                          </a:ln>
                        </wps:spPr>
                        <wps:style>
                          <a:lnRef idx="2">
                            <a:schemeClr val="dk1"/>
                          </a:lnRef>
                          <a:fillRef idx="0">
                            <a:schemeClr val="dk1"/>
                          </a:fillRef>
                          <a:effectRef idx="1">
                            <a:schemeClr val="dk1"/>
                          </a:effectRef>
                          <a:fontRef idx="minor">
                            <a:schemeClr val="tx1"/>
                          </a:fontRef>
                        </wps:style>
                        <wps:bodyPr/>
                      </wps:wsp>
                      <wps:wsp>
                        <wps:cNvPr id="120" name="直接连接符 120"/>
                        <wps:cNvCnPr>
                          <a:endCxn id="6" idx="1"/>
                        </wps:cNvCnPr>
                        <wps:spPr>
                          <a:xfrm flipV="1">
                            <a:off x="3324" y="519385"/>
                            <a:ext cx="459" cy="7"/>
                          </a:xfrm>
                          <a:prstGeom prst="line">
                            <a:avLst/>
                          </a:prstGeom>
                          <a:ln w="9525" cap="flat" cmpd="sng">
                            <a:solidFill>
                              <a:srgbClr val="000000"/>
                            </a:solidFill>
                            <a:prstDash val="solid"/>
                            <a:headEnd type="none" w="med" len="med"/>
                            <a:tailEnd type="triangle" w="med" len="med"/>
                          </a:ln>
                        </wps:spPr>
                        <wps:bodyPr upright="1"/>
                      </wps:wsp>
                      <wps:wsp>
                        <wps:cNvPr id="121" name="直接箭头连接符 121"/>
                        <wps:cNvCnPr>
                          <a:stCxn id="7" idx="2"/>
                          <a:endCxn id="2" idx="0"/>
                        </wps:cNvCnPr>
                        <wps:spPr>
                          <a:xfrm flipH="1">
                            <a:off x="5767" y="521404"/>
                            <a:ext cx="5" cy="1218"/>
                          </a:xfrm>
                          <a:prstGeom prst="straightConnector1">
                            <a:avLst/>
                          </a:prstGeom>
                          <a:ln>
                            <a:tailEnd type="triangle" w="med" len="med"/>
                          </a:ln>
                        </wps:spPr>
                        <wps:style>
                          <a:lnRef idx="2">
                            <a:schemeClr val="dk1"/>
                          </a:lnRef>
                          <a:fillRef idx="0">
                            <a:schemeClr val="dk1"/>
                          </a:fillRef>
                          <a:effectRef idx="1">
                            <a:schemeClr val="dk1"/>
                          </a:effectRef>
                          <a:fontRef idx="minor">
                            <a:schemeClr val="tx1"/>
                          </a:fontRef>
                        </wps:style>
                        <wps:bodyPr/>
                      </wps:wsp>
                      <wps:wsp>
                        <wps:cNvPr id="122" name="肘形连接符 122"/>
                        <wps:cNvCnPr>
                          <a:stCxn id="1" idx="2"/>
                          <a:endCxn id="8" idx="0"/>
                        </wps:cNvCnPr>
                        <wps:spPr>
                          <a:xfrm rot="5400000" flipV="1">
                            <a:off x="6110" y="516576"/>
                            <a:ext cx="1060" cy="1244"/>
                          </a:xfrm>
                          <a:prstGeom prst="bentConnector3">
                            <a:avLst>
                              <a:gd name="adj1" fmla="val 50000"/>
                            </a:avLst>
                          </a:prstGeom>
                          <a:ln>
                            <a:tailEnd type="triangle" w="med" len="med"/>
                          </a:ln>
                        </wps:spPr>
                        <wps:style>
                          <a:lnRef idx="2">
                            <a:schemeClr val="dk1"/>
                          </a:lnRef>
                          <a:fillRef idx="0">
                            <a:schemeClr val="dk1"/>
                          </a:fillRef>
                          <a:effectRef idx="1">
                            <a:schemeClr val="dk1"/>
                          </a:effectRef>
                          <a:fontRef idx="minor">
                            <a:schemeClr val="tx1"/>
                          </a:fontRef>
                        </wps:style>
                        <wps:bodyPr/>
                      </wps:wsp>
                    </wpg:wgp>
                  </a:graphicData>
                </a:graphic>
              </wp:anchor>
            </w:drawing>
          </mc:Choice>
          <mc:Fallback>
            <w:pict>
              <v:group id="_x0000_s1026" o:spid="_x0000_s1026" o:spt="203" style="position:absolute;left:0pt;margin-left:29.3pt;margin-top:10.1pt;height:344.2pt;width:383.7pt;z-index:251660288;mso-width-relative:page;mso-height-relative:page;" coordorigin="1930,516203" coordsize="7674,6884" o:gfxdata="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">
                <o:lock v:ext="edit" aspectratio="f"/>
                <v:group id="_x0000_s1026" o:spid="_x0000_s1026" o:spt="203" style="position:absolute;left:1930;top:516203;height:6884;width:7674;" coordorigin="3828,499647" coordsize="7674,6884"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_x0000_s1026" o:spid="_x0000_s1026" o:spt="1" style="position:absolute;left:6168;top:499647;height:465;width:3495;"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218EC4DE">
                          <w:pPr>
                            <w:adjustRightInd w:val="0"/>
                            <w:snapToGrid w:val="0"/>
                            <w:jc w:val="center"/>
                            <w:rPr>
                              <w:rFonts w:ascii="Times New Roman"/>
                              <w:snapToGrid w:val="0"/>
                              <w:kern w:val="0"/>
                              <w:sz w:val="24"/>
                              <w:szCs w:val="24"/>
                            </w:rPr>
                          </w:pPr>
                          <w:r>
                            <w:rPr>
                              <w:rFonts w:hint="eastAsia"/>
                              <w:snapToGrid w:val="0"/>
                              <w:color w:val="000000"/>
                              <w:kern w:val="0"/>
                              <w:sz w:val="24"/>
                              <w:szCs w:val="24"/>
                            </w:rPr>
                            <w:t>区突发公共事件总体应急预案</w:t>
                          </w:r>
                        </w:p>
                      </w:txbxContent>
                    </v:textbox>
                  </v:rect>
                  <v:rect id="_x0000_s1026" o:spid="_x0000_s1026" o:spt="1" style="position:absolute;left:3828;top:506066;height:465;width:7674;"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18BC3E6">
                          <w:pPr>
                            <w:adjustRightInd w:val="0"/>
                            <w:snapToGrid w:val="0"/>
                            <w:jc w:val="center"/>
                            <w:rPr>
                              <w:rFonts w:ascii="Times New Roman"/>
                              <w:snapToGrid w:val="0"/>
                              <w:kern w:val="0"/>
                              <w:sz w:val="24"/>
                              <w:szCs w:val="24"/>
                            </w:rPr>
                          </w:pPr>
                          <w:r>
                            <w:rPr>
                              <w:rFonts w:hint="eastAsia" w:hAnsi="宋体" w:cs="宋体"/>
                              <w:snapToGrid w:val="0"/>
                              <w:kern w:val="0"/>
                              <w:sz w:val="24"/>
                            </w:rPr>
                            <w:t>生产、销售、使用放射性同位素和射线装置的单位的辐射事故应急预案</w:t>
                          </w:r>
                        </w:p>
                      </w:txbxContent>
                    </v:textbox>
                  </v:rect>
                  <v:rect id="_x0000_s1026" o:spid="_x0000_s1026" o:spt="1" style="position:absolute;left:4461;top:501161;height:3957;width:763;" fillcolor="#FFFFFF" filled="t" stroked="t" coordsize="21600,21600" o:gfxdata="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wpA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style="layout-flow:vertical-ideographic;">
                      <w:txbxContent>
                        <w:p w14:paraId="4006E8DA">
                          <w:pPr>
                            <w:adjustRightInd w:val="0"/>
                            <w:snapToGrid w:val="0"/>
                            <w:jc w:val="center"/>
                            <w:rPr>
                              <w:rFonts w:ascii="Times New Roman"/>
                              <w:snapToGrid w:val="0"/>
                              <w:kern w:val="0"/>
                              <w:sz w:val="24"/>
                              <w:szCs w:val="24"/>
                            </w:rPr>
                          </w:pPr>
                          <w:r>
                            <w:rPr>
                              <w:rFonts w:hint="eastAsia" w:ascii="Times New Roman"/>
                              <w:snapToGrid w:val="0"/>
                              <w:kern w:val="0"/>
                              <w:sz w:val="24"/>
                              <w:szCs w:val="24"/>
                            </w:rPr>
                            <w:t>大亚湾区突发环境事件</w:t>
                          </w:r>
                          <w:r>
                            <w:rPr>
                              <w:rFonts w:ascii="Times New Roman"/>
                              <w:snapToGrid w:val="0"/>
                              <w:kern w:val="0"/>
                              <w:sz w:val="24"/>
                              <w:szCs w:val="24"/>
                            </w:rPr>
                            <w:t>应急预案</w:t>
                          </w:r>
                        </w:p>
                      </w:txbxContent>
                    </v:textbox>
                  </v:rect>
                  <v:rect id="_x0000_s1026" o:spid="_x0000_s1026" o:spt="1" style="position:absolute;left:5681;top:501166;height:3326;width:930;" fillcolor="#FFFFFF" filled="t" stroked="t" coordsize="21600,21600" o:gfxdata="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YcHn7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style="layout-flow:vertical-ideographic;">
                      <w:txbxContent>
                        <w:p w14:paraId="07195FE8">
                          <w:pPr>
                            <w:adjustRightInd w:val="0"/>
                            <w:snapToGrid w:val="0"/>
                            <w:rPr>
                              <w:rFonts w:ascii="Times New Roman"/>
                              <w:bCs/>
                              <w:snapToGrid w:val="0"/>
                              <w:color w:val="000000"/>
                              <w:kern w:val="0"/>
                              <w:sz w:val="24"/>
                              <w:szCs w:val="24"/>
                            </w:rPr>
                          </w:pPr>
                          <w:r>
                            <w:rPr>
                              <w:rFonts w:hint="eastAsia" w:ascii="Times New Roman"/>
                              <w:bCs/>
                              <w:sz w:val="24"/>
                              <w:szCs w:val="24"/>
                            </w:rPr>
                            <w:t>大亚湾区</w:t>
                          </w:r>
                          <w:r>
                            <w:rPr>
                              <w:rFonts w:ascii="Times New Roman"/>
                              <w:bCs/>
                              <w:sz w:val="24"/>
                              <w:szCs w:val="24"/>
                            </w:rPr>
                            <w:t>集中式饮用水水源地水质污染事件应急处置方案</w:t>
                          </w:r>
                        </w:p>
                      </w:txbxContent>
                    </v:textbox>
                  </v:rect>
                  <v:rect id="_x0000_s1026" o:spid="_x0000_s1026" o:spt="1" style="position:absolute;left:7293;top:501164;height:3684;width:754;" fillcolor="#FFFFFF" filled="t" stroked="t" coordsize="21600,21600" o:gfxdata="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LogS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style="layout-flow:vertical-ideographic;">
                      <w:txbxContent>
                        <w:p w14:paraId="5210A08F">
                          <w:pPr>
                            <w:adjustRightInd w:val="0"/>
                            <w:snapToGrid w:val="0"/>
                            <w:jc w:val="center"/>
                            <w:rPr>
                              <w:rFonts w:ascii="Times New Roman"/>
                              <w:snapToGrid w:val="0"/>
                              <w:kern w:val="0"/>
                              <w:sz w:val="24"/>
                              <w:szCs w:val="24"/>
                            </w:rPr>
                          </w:pPr>
                          <w:r>
                            <w:rPr>
                              <w:sz w:val="24"/>
                              <w:szCs w:val="24"/>
                            </w:rPr>
                            <w:t>惠州</w:t>
                          </w:r>
                          <w:r>
                            <w:rPr>
                              <w:rFonts w:hint="eastAsia"/>
                              <w:sz w:val="24"/>
                              <w:szCs w:val="24"/>
                            </w:rPr>
                            <w:t>大亚湾区</w:t>
                          </w:r>
                          <w:r>
                            <w:rPr>
                              <w:sz w:val="24"/>
                              <w:szCs w:val="24"/>
                            </w:rPr>
                            <w:t>辐射事故应急预</w:t>
                          </w:r>
                          <w:r>
                            <w:rPr>
                              <w:rFonts w:ascii="Times New Roman"/>
                              <w:snapToGrid w:val="0"/>
                              <w:kern w:val="0"/>
                              <w:sz w:val="24"/>
                              <w:szCs w:val="24"/>
                            </w:rPr>
                            <w:t>案</w:t>
                          </w:r>
                        </w:p>
                      </w:txbxContent>
                    </v:textbox>
                  </v:rect>
                  <v:rect id="_x0000_s1026" o:spid="_x0000_s1026" o:spt="1" style="position:absolute;left:8800;top:501172;height:4841;width:720;" fillcolor="#FFFFFF" filled="t" stroked="t" coordsize="21600,21600" o:gfxdata="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1Q2drgAAADa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style="layout-flow:vertical-ideographic;">
                      <w:txbxContent>
                        <w:p w14:paraId="408BE1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snapToGrid w:val="0"/>
                              <w:kern w:val="0"/>
                              <w:sz w:val="24"/>
                              <w:szCs w:val="24"/>
                            </w:rPr>
                          </w:pPr>
                          <w:r>
                            <w:rPr>
                              <w:rFonts w:hint="eastAsia" w:ascii="Times New Roman"/>
                              <w:snapToGrid w:val="0"/>
                              <w:kern w:val="0"/>
                              <w:sz w:val="24"/>
                              <w:szCs w:val="24"/>
                            </w:rPr>
                            <w:t>惠州大亚湾经济技术开发区核事故应急预案</w:t>
                          </w:r>
                        </w:p>
                      </w:txbxContent>
                    </v:textbox>
                  </v:rect>
                  <v:rect id="_x0000_s1026" o:spid="_x0000_s1026" o:spt="1" style="position:absolute;left:10633;top:501167;height:3920;width:748;" fillcolor="#FFFFFF" filled="t" stroked="t" coordsize="21600,21600" o:gfxdata="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4+kv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style="layout-flow:vertical-ideographic;">
                      <w:txbxContent>
                        <w:p w14:paraId="505EDC50">
                          <w:pPr>
                            <w:adjustRightInd w:val="0"/>
                            <w:snapToGrid w:val="0"/>
                            <w:jc w:val="center"/>
                            <w:rPr>
                              <w:rFonts w:ascii="Times New Roman"/>
                              <w:snapToGrid w:val="0"/>
                              <w:kern w:val="0"/>
                              <w:sz w:val="24"/>
                              <w:szCs w:val="24"/>
                            </w:rPr>
                          </w:pPr>
                          <w:r>
                            <w:rPr>
                              <w:rFonts w:ascii="Times New Roman"/>
                              <w:snapToGrid w:val="0"/>
                              <w:kern w:val="0"/>
                              <w:sz w:val="24"/>
                              <w:szCs w:val="24"/>
                            </w:rPr>
                            <w:t>惠州</w:t>
                          </w:r>
                          <w:r>
                            <w:rPr>
                              <w:rFonts w:hint="eastAsia" w:ascii="Times New Roman"/>
                              <w:snapToGrid w:val="0"/>
                              <w:kern w:val="0"/>
                              <w:sz w:val="24"/>
                              <w:szCs w:val="24"/>
                            </w:rPr>
                            <w:t>大亚湾区其他专项应急预案</w:t>
                          </w:r>
                        </w:p>
                      </w:txbxContent>
                    </v:textbox>
                  </v:rect>
                </v:group>
                <v:shape id="_x0000_s1026" o:spid="_x0000_s1026" o:spt="34" type="#_x0000_t34" style="position:absolute;left:3957;top:515656;height:3073;width:1049;rotation:5898240f;" filled="f" stroked="t" coordsize="21600,21600" o:gfxdata="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P9jPvQAA&#10;ANwAAAAPAAAAAAAAAAEAIAAAACIAAABkcnMvZG93bnJldi54bWxQSwECFAAUAAAACACHTuJAMy8F&#10;njsAAAA5AAAAEAAAAAAAAAABACAAAAAMAQAAZHJzL3NoYXBleG1sLnhtbFBLBQYAAAAABgAGAFsB&#10;AAC2AwAAAAA=&#10;" adj="10810">
                  <v:fill on="f" focussize="0,0"/>
                  <v:stroke weight="1pt" color="#000000 [3200]" miterlimit="8" joinstyle="miter" endarrow="block"/>
                  <v:imagedata o:title=""/>
                  <o:lock v:ext="edit" aspectratio="f"/>
                </v:shape>
                <v:shape id="_x0000_s1026" o:spid="_x0000_s1026" o:spt="34" type="#_x0000_t34" style="position:absolute;left:4606;top:516310;height:1770;width:1054;rotation:5898240f;" filled="f" stroked="t" coordsize="21600,21600" o:gfxdata="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97d74A&#10;AADcAAAADwAAAAAAAAABACAAAAAiAAAAZHJzL2Rvd25yZXYueG1sUEsBAhQAFAAAAAgAh07iQDMv&#10;BZ47AAAAOQAAABAAAAAAAAAAAQAgAAAADQEAAGRycy9zaGFwZXhtbC54bWxQSwUGAAAAAAYABgBb&#10;AQAAtwMAAAAA&#10;" adj="10800">
                  <v:fill on="f" focussize="0,0"/>
                  <v:stroke weight="1pt" color="#000000 [3200]" miterlimit="8" joinstyle="miter" endarrow="block"/>
                  <v:imagedata o:title=""/>
                  <o:lock v:ext="edit" aspectratio="f"/>
                </v:shape>
                <v:shape id="_x0000_s1026" o:spid="_x0000_s1026" o:spt="34" type="#_x0000_t34" style="position:absolute;left:5369;top:517071;height:246;width:1052;rotation:5898240f;" filled="f" stroked="t" coordsize="21600,21600" o:gfxdata="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I97svQAA&#10;ANwAAAAPAAAAAAAAAAEAIAAAACIAAABkcnMvZG93bnJldi54bWxQSwECFAAUAAAACACHTuJAMy8F&#10;njsAAAA5AAAAEAAAAAAAAAABACAAAAAMAQAAZHJzL3NoYXBleG1sLnhtbFBLBQYAAAAABgAGAFsB&#10;AAC2AwAAAAA=&#10;" adj="10800">
                  <v:fill on="f" focussize="0,0"/>
                  <v:stroke weight="1pt" color="#000000 [3200]" miterlimit="8" joinstyle="miter" endarrow="block"/>
                  <v:imagedata o:title=""/>
                  <o:lock v:ext="edit" aspectratio="f"/>
                </v:shape>
                <v:line id="_x0000_s1026" o:spid="_x0000_s1026" o:spt="20" style="position:absolute;left:3324;top:519385;flip:y;height:7;width:459;" filled="f" stroked="t" coordsize="21600,21600" o:gfxdata="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S2rm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32" type="#_x0000_t32" style="position:absolute;left:5767;top:521404;flip:x;height:1218;width:5;" filled="f" stroked="t" coordsize="21600,21600" o:gfxdata="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vXYXrsAAADc&#10;AAAADwAAAAAAAAABACAAAAAiAAAAZHJzL2Rvd25yZXYueG1sUEsBAhQAFAAAAAgAh07iQDMvBZ47&#10;AAAAOQAAABAAAAAAAAAAAQAgAAAACgEAAGRycy9zaGFwZXhtbC54bWxQSwUGAAAAAAYABgBbAQAA&#10;tAMAAAAA&#10;">
                  <v:fill on="f" focussize="0,0"/>
                  <v:stroke weight="1pt" color="#000000 [3200]" miterlimit="8" joinstyle="miter" endarrow="block"/>
                  <v:imagedata o:title=""/>
                  <o:lock v:ext="edit" aspectratio="f"/>
                </v:shape>
                <v:shape id="_x0000_s1026" o:spid="_x0000_s1026" o:spt="34" type="#_x0000_t34" style="position:absolute;left:6110;top:516576;flip:y;height:1244;width:1060;rotation:-5898240f;" filled="f" stroked="t" coordsize="21600,21600" o:gfxdata="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samKugAAANwA&#10;AAAPAAAAAAAAAAEAIAAAACIAAABkcnMvZG93bnJldi54bWxQSwECFAAUAAAACACHTuJAMy8FnjsA&#10;AAA5AAAAEAAAAAAAAAABACAAAAAJAQAAZHJzL3NoYXBleG1sLnhtbFBLBQYAAAAABgAGAFsBAACz&#10;AwAAAAA=&#10;" adj="10800">
                  <v:fill on="f" focussize="0,0"/>
                  <v:stroke weight="1pt" color="#000000 [3200]" miterlimit="8" joinstyle="miter" endarrow="block"/>
                  <v:imagedata o:title=""/>
                  <o:lock v:ext="edit" aspectratio="f"/>
                </v:shape>
              </v:group>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3614420</wp:posOffset>
                </wp:positionH>
                <wp:positionV relativeFrom="paragraph">
                  <wp:posOffset>-222885</wp:posOffset>
                </wp:positionV>
                <wp:extent cx="669925" cy="1962785"/>
                <wp:effectExtent l="6350" t="0" r="50165" b="15875"/>
                <wp:wrapNone/>
                <wp:docPr id="123" name="肘形连接符 123"/>
                <wp:cNvGraphicFramePr/>
                <a:graphic xmlns:a="http://schemas.openxmlformats.org/drawingml/2006/main">
                  <a:graphicData uri="http://schemas.microsoft.com/office/word/2010/wordprocessingShape">
                    <wps:wsp>
                      <wps:cNvCnPr>
                        <a:stCxn id="1" idx="2"/>
                        <a:endCxn id="11" idx="0"/>
                      </wps:cNvCnPr>
                      <wps:spPr>
                        <a:xfrm rot="5400000" flipV="1">
                          <a:off x="0" y="0"/>
                          <a:ext cx="669925" cy="1962785"/>
                        </a:xfrm>
                        <a:prstGeom prst="bentConnector3">
                          <a:avLst>
                            <a:gd name="adj1" fmla="val 50047"/>
                          </a:avLst>
                        </a:prstGeom>
                        <a:ln>
                          <a:tailEnd type="triangle" w="med" len="med"/>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_x0000_s1026" o:spid="_x0000_s1026" o:spt="34" type="#_x0000_t34" style="position:absolute;left:0pt;flip:y;margin-left:284.6pt;margin-top:-17.55pt;height:154.55pt;width:52.75pt;rotation:-5898240f;z-index:251659264;mso-width-relative:page;mso-height-relative:page;" filled="f" stroked="t" coordsize="21600,21600" o:gfxdata="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QPckn9sAAAAL&#10;AQAADwAAAAAAAAABACAAAAAiAAAAZHJzL2Rvd25yZXYueG1sUEsBAhQAFAAAAAgAh07iQLP1iwBS&#10;AgAAeQQAAA4AAAAAAAAAAQAgAAAAKgEAAGRycy9lMm9Eb2MueG1sUEsFBgAAAAAGAAYAWQEAAO4F&#10;AAAAAA==&#10;" adj="10810">
                <v:fill on="f" focussize="0,0"/>
                <v:stroke weight="1pt" color="#000000 [3200]" miterlimit="8" joinstyle="miter" endarrow="block"/>
                <v:imagedata o:title=""/>
                <o:lock v:ext="edit" aspectratio="f"/>
              </v:shape>
            </w:pict>
          </mc:Fallback>
        </mc:AlternateContent>
      </w:r>
    </w:p>
    <w:p w14:paraId="6EC3E88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4D7CBF0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5FF0F32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0F1EA87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0F887ED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6BF5065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22368AD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4516BDB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27D5481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63CD3E8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p>
    <w:p w14:paraId="02C4C22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6A781F6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14:paraId="111A27F5">
      <w:pPr>
        <w:pStyle w:val="4"/>
        <w:spacing w:before="0" w:beforeLines="0" w:after="0" w:afterLines="0" w:line="520" w:lineRule="exact"/>
        <w:ind w:firstLine="640" w:firstLineChars="200"/>
        <w:rPr>
          <w:rFonts w:hint="eastAsia" w:ascii="楷体" w:hAnsi="楷体" w:eastAsia="楷体" w:cs="楷体"/>
          <w:b w:val="0"/>
          <w:bCs w:val="0"/>
          <w:lang w:eastAsia="zh-CN"/>
        </w:rPr>
      </w:pPr>
      <w:bookmarkStart w:id="185" w:name="_Toc23017"/>
      <w:r>
        <w:rPr>
          <w:rFonts w:hint="eastAsia" w:ascii="楷体" w:hAnsi="楷体" w:eastAsia="楷体" w:cs="楷体"/>
          <w:b w:val="0"/>
          <w:bCs w:val="0"/>
          <w:lang w:eastAsia="zh-CN"/>
        </w:rPr>
        <w:t>（五）预案实施时间</w:t>
      </w:r>
      <w:bookmarkEnd w:id="185"/>
    </w:p>
    <w:p w14:paraId="7E637B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本预案自印发之日起实施。</w:t>
      </w:r>
    </w:p>
    <w:p w14:paraId="1A12706E">
      <w:pPr>
        <w:rPr>
          <w:rFonts w:hint="eastAsia"/>
          <w:lang w:val="en-US" w:eastAsia="zh-CN"/>
        </w:rPr>
      </w:pPr>
    </w:p>
    <w:sectPr>
      <w:footerReference r:id="rId4"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1"/>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CD360">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37E5B6">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A37E5B6">
                    <w:pPr>
                      <w:pStyle w:val="8"/>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DB18">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8FD9E6">
                          <w:pPr>
                            <w:pStyle w:val="8"/>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- 30 -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98FD9E6">
                    <w:pPr>
                      <w:pStyle w:val="8"/>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- 30 -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wNWMxMjFlNDYxZWQ4Y2NhZDhjMmExMjFjZDY3NDcifQ=="/>
  </w:docVars>
  <w:rsids>
    <w:rsidRoot w:val="00172A27"/>
    <w:rsid w:val="012D5845"/>
    <w:rsid w:val="019313BF"/>
    <w:rsid w:val="02734614"/>
    <w:rsid w:val="0329503C"/>
    <w:rsid w:val="04AF5734"/>
    <w:rsid w:val="05097AD0"/>
    <w:rsid w:val="05C862B6"/>
    <w:rsid w:val="067D14A9"/>
    <w:rsid w:val="0684045C"/>
    <w:rsid w:val="06AA36F3"/>
    <w:rsid w:val="06B90041"/>
    <w:rsid w:val="07590857"/>
    <w:rsid w:val="07B676DB"/>
    <w:rsid w:val="081661A0"/>
    <w:rsid w:val="084230D5"/>
    <w:rsid w:val="08F657EC"/>
    <w:rsid w:val="09144C48"/>
    <w:rsid w:val="09E22171"/>
    <w:rsid w:val="0A580F87"/>
    <w:rsid w:val="0A5D684C"/>
    <w:rsid w:val="0A89610E"/>
    <w:rsid w:val="0A8B4C59"/>
    <w:rsid w:val="0A8C5F5E"/>
    <w:rsid w:val="0AE2236A"/>
    <w:rsid w:val="0BB1537F"/>
    <w:rsid w:val="0BCD5C80"/>
    <w:rsid w:val="0BF132A6"/>
    <w:rsid w:val="0C1734E6"/>
    <w:rsid w:val="0CD05927"/>
    <w:rsid w:val="0CEA5BDA"/>
    <w:rsid w:val="0D613984"/>
    <w:rsid w:val="0DA62308"/>
    <w:rsid w:val="0DAA455D"/>
    <w:rsid w:val="0E0E2458"/>
    <w:rsid w:val="0E7C03D1"/>
    <w:rsid w:val="0ED13156"/>
    <w:rsid w:val="0F04358A"/>
    <w:rsid w:val="0F315403"/>
    <w:rsid w:val="0F411414"/>
    <w:rsid w:val="0FE16FFE"/>
    <w:rsid w:val="0FFC0CC7"/>
    <w:rsid w:val="11B12736"/>
    <w:rsid w:val="12DD1C00"/>
    <w:rsid w:val="13120971"/>
    <w:rsid w:val="13511DA5"/>
    <w:rsid w:val="140D72F1"/>
    <w:rsid w:val="149B7A83"/>
    <w:rsid w:val="150E7DF1"/>
    <w:rsid w:val="15624E21"/>
    <w:rsid w:val="15B17E36"/>
    <w:rsid w:val="15F12FA3"/>
    <w:rsid w:val="16066CD6"/>
    <w:rsid w:val="16762102"/>
    <w:rsid w:val="16E264C1"/>
    <w:rsid w:val="174E6F4B"/>
    <w:rsid w:val="17974DC1"/>
    <w:rsid w:val="17E31C40"/>
    <w:rsid w:val="184957E8"/>
    <w:rsid w:val="186B141E"/>
    <w:rsid w:val="18D100BA"/>
    <w:rsid w:val="18E04AF8"/>
    <w:rsid w:val="19127B31"/>
    <w:rsid w:val="191E4D81"/>
    <w:rsid w:val="192B3098"/>
    <w:rsid w:val="19767855"/>
    <w:rsid w:val="19DD6D3D"/>
    <w:rsid w:val="1A530524"/>
    <w:rsid w:val="1A5D3725"/>
    <w:rsid w:val="1C282BDF"/>
    <w:rsid w:val="1C450684"/>
    <w:rsid w:val="1C781CED"/>
    <w:rsid w:val="1D7242FD"/>
    <w:rsid w:val="1D7A3850"/>
    <w:rsid w:val="1D7D76F0"/>
    <w:rsid w:val="1D962818"/>
    <w:rsid w:val="1DAA0AE3"/>
    <w:rsid w:val="1E0D0547"/>
    <w:rsid w:val="1E1821CA"/>
    <w:rsid w:val="1E33694E"/>
    <w:rsid w:val="1F1C1160"/>
    <w:rsid w:val="1FB94CF2"/>
    <w:rsid w:val="20F454E8"/>
    <w:rsid w:val="2122261B"/>
    <w:rsid w:val="21372D0F"/>
    <w:rsid w:val="215A6747"/>
    <w:rsid w:val="21D52620"/>
    <w:rsid w:val="22A90851"/>
    <w:rsid w:val="22AA3E3E"/>
    <w:rsid w:val="233649D3"/>
    <w:rsid w:val="23C776C7"/>
    <w:rsid w:val="23F52C20"/>
    <w:rsid w:val="25E603C2"/>
    <w:rsid w:val="260505BF"/>
    <w:rsid w:val="26420B97"/>
    <w:rsid w:val="265D591C"/>
    <w:rsid w:val="268720E1"/>
    <w:rsid w:val="270649CD"/>
    <w:rsid w:val="286030CB"/>
    <w:rsid w:val="286B7752"/>
    <w:rsid w:val="28767C8C"/>
    <w:rsid w:val="2880224E"/>
    <w:rsid w:val="28B50BD7"/>
    <w:rsid w:val="28D975B3"/>
    <w:rsid w:val="28F357AA"/>
    <w:rsid w:val="2935226B"/>
    <w:rsid w:val="297224A3"/>
    <w:rsid w:val="29C446DA"/>
    <w:rsid w:val="29C50E84"/>
    <w:rsid w:val="29DD3EBD"/>
    <w:rsid w:val="2A4724B0"/>
    <w:rsid w:val="2B2F5EFB"/>
    <w:rsid w:val="2BA07916"/>
    <w:rsid w:val="2BC70633"/>
    <w:rsid w:val="2BEB1229"/>
    <w:rsid w:val="2C1C0912"/>
    <w:rsid w:val="2C6D55CB"/>
    <w:rsid w:val="2D712F03"/>
    <w:rsid w:val="2D924D92"/>
    <w:rsid w:val="2DD4153F"/>
    <w:rsid w:val="2DDA7674"/>
    <w:rsid w:val="2EFA5A9E"/>
    <w:rsid w:val="2F793E59"/>
    <w:rsid w:val="301550C7"/>
    <w:rsid w:val="30840E28"/>
    <w:rsid w:val="30CA2904"/>
    <w:rsid w:val="31016ADD"/>
    <w:rsid w:val="310A44B0"/>
    <w:rsid w:val="310D1C85"/>
    <w:rsid w:val="31745184"/>
    <w:rsid w:val="31AE7611"/>
    <w:rsid w:val="31F512E5"/>
    <w:rsid w:val="31FD2867"/>
    <w:rsid w:val="321611A5"/>
    <w:rsid w:val="325E7F41"/>
    <w:rsid w:val="32C95E52"/>
    <w:rsid w:val="332B4269"/>
    <w:rsid w:val="34344A31"/>
    <w:rsid w:val="34347DF8"/>
    <w:rsid w:val="34416784"/>
    <w:rsid w:val="34570DF8"/>
    <w:rsid w:val="35622F24"/>
    <w:rsid w:val="35725E7F"/>
    <w:rsid w:val="35A75525"/>
    <w:rsid w:val="360F2355"/>
    <w:rsid w:val="361F652E"/>
    <w:rsid w:val="36CE7CD4"/>
    <w:rsid w:val="37437BB7"/>
    <w:rsid w:val="37A200F9"/>
    <w:rsid w:val="37C97392"/>
    <w:rsid w:val="38D7319B"/>
    <w:rsid w:val="396543B9"/>
    <w:rsid w:val="39A522C8"/>
    <w:rsid w:val="39B62EBE"/>
    <w:rsid w:val="39D53024"/>
    <w:rsid w:val="39EB6115"/>
    <w:rsid w:val="3A0F54D3"/>
    <w:rsid w:val="3A6E266D"/>
    <w:rsid w:val="3AA35FBF"/>
    <w:rsid w:val="3AF60361"/>
    <w:rsid w:val="3C6C7796"/>
    <w:rsid w:val="3C8A2E1F"/>
    <w:rsid w:val="3CAC2339"/>
    <w:rsid w:val="3D6E7757"/>
    <w:rsid w:val="3D754637"/>
    <w:rsid w:val="3DED132A"/>
    <w:rsid w:val="3DF45E20"/>
    <w:rsid w:val="3E196BCE"/>
    <w:rsid w:val="3E613867"/>
    <w:rsid w:val="3EA121C3"/>
    <w:rsid w:val="3EFB0795"/>
    <w:rsid w:val="3F364B44"/>
    <w:rsid w:val="3F8D5553"/>
    <w:rsid w:val="3FDD0960"/>
    <w:rsid w:val="400F41FD"/>
    <w:rsid w:val="40182CC9"/>
    <w:rsid w:val="40CC3DC6"/>
    <w:rsid w:val="41136A7B"/>
    <w:rsid w:val="41391118"/>
    <w:rsid w:val="42122973"/>
    <w:rsid w:val="42617286"/>
    <w:rsid w:val="42A84818"/>
    <w:rsid w:val="42B530EB"/>
    <w:rsid w:val="433B6A49"/>
    <w:rsid w:val="43BC0779"/>
    <w:rsid w:val="43C71493"/>
    <w:rsid w:val="440467DA"/>
    <w:rsid w:val="440853AC"/>
    <w:rsid w:val="45FA7D5B"/>
    <w:rsid w:val="46054CCA"/>
    <w:rsid w:val="46435CC4"/>
    <w:rsid w:val="46EA22E7"/>
    <w:rsid w:val="471517AC"/>
    <w:rsid w:val="47286055"/>
    <w:rsid w:val="476D30A3"/>
    <w:rsid w:val="481A4027"/>
    <w:rsid w:val="48B466CE"/>
    <w:rsid w:val="4923730E"/>
    <w:rsid w:val="492E248A"/>
    <w:rsid w:val="4954740E"/>
    <w:rsid w:val="49895C9C"/>
    <w:rsid w:val="49934D06"/>
    <w:rsid w:val="4A312943"/>
    <w:rsid w:val="4A341D57"/>
    <w:rsid w:val="4A8A695F"/>
    <w:rsid w:val="4AC71AB7"/>
    <w:rsid w:val="4B537B35"/>
    <w:rsid w:val="4C27423C"/>
    <w:rsid w:val="4C8B1B49"/>
    <w:rsid w:val="4CAC2A40"/>
    <w:rsid w:val="4CB50A07"/>
    <w:rsid w:val="4D224D74"/>
    <w:rsid w:val="4D8727FF"/>
    <w:rsid w:val="4DB82998"/>
    <w:rsid w:val="4DE26957"/>
    <w:rsid w:val="4E4F46E0"/>
    <w:rsid w:val="4ED66E64"/>
    <w:rsid w:val="4EFF708B"/>
    <w:rsid w:val="4F6812EA"/>
    <w:rsid w:val="4FC75B4F"/>
    <w:rsid w:val="4FE373A1"/>
    <w:rsid w:val="4FF108FD"/>
    <w:rsid w:val="51204252"/>
    <w:rsid w:val="513A5F1B"/>
    <w:rsid w:val="514A5838"/>
    <w:rsid w:val="51615903"/>
    <w:rsid w:val="516D3625"/>
    <w:rsid w:val="52213A5A"/>
    <w:rsid w:val="522A4953"/>
    <w:rsid w:val="52B61E04"/>
    <w:rsid w:val="53121757"/>
    <w:rsid w:val="534E301B"/>
    <w:rsid w:val="53A854CE"/>
    <w:rsid w:val="53AB3321"/>
    <w:rsid w:val="54373AB8"/>
    <w:rsid w:val="544F410D"/>
    <w:rsid w:val="548A5FEF"/>
    <w:rsid w:val="550A7EE9"/>
    <w:rsid w:val="55245CBF"/>
    <w:rsid w:val="55797948"/>
    <w:rsid w:val="559E31DD"/>
    <w:rsid w:val="55C1204A"/>
    <w:rsid w:val="55CE150B"/>
    <w:rsid w:val="55E02558"/>
    <w:rsid w:val="55E23AF4"/>
    <w:rsid w:val="56555075"/>
    <w:rsid w:val="56A106AF"/>
    <w:rsid w:val="57776ECD"/>
    <w:rsid w:val="57952240"/>
    <w:rsid w:val="57B73512"/>
    <w:rsid w:val="580A216A"/>
    <w:rsid w:val="585338F8"/>
    <w:rsid w:val="588F3E31"/>
    <w:rsid w:val="590F7137"/>
    <w:rsid w:val="59673E0B"/>
    <w:rsid w:val="59A43F07"/>
    <w:rsid w:val="59E63C33"/>
    <w:rsid w:val="5A2E508D"/>
    <w:rsid w:val="5A56454F"/>
    <w:rsid w:val="5AAE3EE4"/>
    <w:rsid w:val="5AB21B61"/>
    <w:rsid w:val="5AC149CA"/>
    <w:rsid w:val="5B312A2C"/>
    <w:rsid w:val="5BDB5636"/>
    <w:rsid w:val="5C324555"/>
    <w:rsid w:val="5C9C1C7E"/>
    <w:rsid w:val="5CA24F79"/>
    <w:rsid w:val="5DA311AC"/>
    <w:rsid w:val="5E52269C"/>
    <w:rsid w:val="5EFF26FC"/>
    <w:rsid w:val="5FAD0AE8"/>
    <w:rsid w:val="5FB23198"/>
    <w:rsid w:val="60312590"/>
    <w:rsid w:val="61C80A87"/>
    <w:rsid w:val="62751D9E"/>
    <w:rsid w:val="627A04B3"/>
    <w:rsid w:val="62A115DE"/>
    <w:rsid w:val="62D86A71"/>
    <w:rsid w:val="62EB3E35"/>
    <w:rsid w:val="630753B9"/>
    <w:rsid w:val="637B45CE"/>
    <w:rsid w:val="6476414A"/>
    <w:rsid w:val="64E07246"/>
    <w:rsid w:val="658370AF"/>
    <w:rsid w:val="65D95929"/>
    <w:rsid w:val="66676A15"/>
    <w:rsid w:val="66B80634"/>
    <w:rsid w:val="675F5C5E"/>
    <w:rsid w:val="680A3FA8"/>
    <w:rsid w:val="683C5113"/>
    <w:rsid w:val="683E654D"/>
    <w:rsid w:val="683F4CCC"/>
    <w:rsid w:val="685214B2"/>
    <w:rsid w:val="68C2216F"/>
    <w:rsid w:val="69040DE9"/>
    <w:rsid w:val="692D2BCB"/>
    <w:rsid w:val="69A74365"/>
    <w:rsid w:val="69B11B55"/>
    <w:rsid w:val="69DB133C"/>
    <w:rsid w:val="69EC536B"/>
    <w:rsid w:val="6AD75836"/>
    <w:rsid w:val="6B1C5C16"/>
    <w:rsid w:val="6B1E73CA"/>
    <w:rsid w:val="6B5C1309"/>
    <w:rsid w:val="6C802A3F"/>
    <w:rsid w:val="6D626332"/>
    <w:rsid w:val="6D927408"/>
    <w:rsid w:val="6DDC14EA"/>
    <w:rsid w:val="6E085B93"/>
    <w:rsid w:val="6E250D88"/>
    <w:rsid w:val="6E3B72E7"/>
    <w:rsid w:val="6E8B036B"/>
    <w:rsid w:val="6EBF08CD"/>
    <w:rsid w:val="6F841E6E"/>
    <w:rsid w:val="6FD74B0A"/>
    <w:rsid w:val="6FDC191C"/>
    <w:rsid w:val="702E686B"/>
    <w:rsid w:val="705D06AD"/>
    <w:rsid w:val="70757E8B"/>
    <w:rsid w:val="707B5618"/>
    <w:rsid w:val="70D91827"/>
    <w:rsid w:val="713D6173"/>
    <w:rsid w:val="716B70BF"/>
    <w:rsid w:val="71DC1437"/>
    <w:rsid w:val="72243FFC"/>
    <w:rsid w:val="72A11576"/>
    <w:rsid w:val="72A820EF"/>
    <w:rsid w:val="72D876EE"/>
    <w:rsid w:val="72DF2387"/>
    <w:rsid w:val="735F40D6"/>
    <w:rsid w:val="740003DC"/>
    <w:rsid w:val="740B676D"/>
    <w:rsid w:val="743239FA"/>
    <w:rsid w:val="74665629"/>
    <w:rsid w:val="74853EB9"/>
    <w:rsid w:val="7486058E"/>
    <w:rsid w:val="75657150"/>
    <w:rsid w:val="75BC1A67"/>
    <w:rsid w:val="75D9348D"/>
    <w:rsid w:val="76327EAF"/>
    <w:rsid w:val="76371944"/>
    <w:rsid w:val="766D5F57"/>
    <w:rsid w:val="783842C9"/>
    <w:rsid w:val="7896738D"/>
    <w:rsid w:val="78A550CE"/>
    <w:rsid w:val="79352EE7"/>
    <w:rsid w:val="7AC16640"/>
    <w:rsid w:val="7AD91093"/>
    <w:rsid w:val="7AFD12CF"/>
    <w:rsid w:val="7B2026D9"/>
    <w:rsid w:val="7B4213E0"/>
    <w:rsid w:val="7BAA489A"/>
    <w:rsid w:val="7C1E4AE8"/>
    <w:rsid w:val="7C8B5736"/>
    <w:rsid w:val="7CA06787"/>
    <w:rsid w:val="7D223879"/>
    <w:rsid w:val="7DCE2391"/>
    <w:rsid w:val="7E3620A1"/>
    <w:rsid w:val="7E370CE1"/>
    <w:rsid w:val="7E4A3E5B"/>
    <w:rsid w:val="7E702E19"/>
    <w:rsid w:val="7E827716"/>
    <w:rsid w:val="7EA653CE"/>
    <w:rsid w:val="7EC42C09"/>
    <w:rsid w:val="7EDF6A7F"/>
    <w:rsid w:val="7F0A1D14"/>
    <w:rsid w:val="7F995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b/>
      <w:bCs/>
      <w:kern w:val="2"/>
      <w:sz w:val="32"/>
      <w:szCs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6">
    <w:name w:val="annotation text"/>
    <w:basedOn w:val="1"/>
    <w:qFormat/>
    <w:uiPriority w:val="0"/>
    <w:pPr>
      <w:jc w:val="left"/>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customStyle="1" w:styleId="13">
    <w:name w:val="WPSOffice手动目录 1"/>
    <w:qFormat/>
    <w:uiPriority w:val="0"/>
    <w:pPr>
      <w:ind w:leftChars="0"/>
    </w:pPr>
    <w:rPr>
      <w:rFonts w:asciiTheme="minorHAnsi" w:hAnsiTheme="minorHAnsi" w:eastAsiaTheme="minorEastAsia" w:cstheme="minorBidi"/>
      <w:sz w:val="20"/>
      <w:szCs w:val="20"/>
    </w:r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 w:type="paragraph" w:customStyle="1" w:styleId="15">
    <w:name w:val="WPSOffice手动目录 3"/>
    <w:qFormat/>
    <w:uiPriority w:val="0"/>
    <w:pPr>
      <w:ind w:leftChars="400"/>
    </w:pPr>
    <w:rPr>
      <w:rFonts w:asciiTheme="minorHAnsi" w:hAnsiTheme="minorHAnsi" w:eastAsiaTheme="minorEastAsia" w:cstheme="minorBidi"/>
      <w:sz w:val="20"/>
      <w:szCs w:val="20"/>
    </w:rPr>
  </w:style>
  <w:style w:type="paragraph" w:styleId="16">
    <w:name w:val="No Spacing"/>
    <w:qFormat/>
    <w:uiPriority w:val="0"/>
    <w:pPr>
      <w:widowControl w:val="0"/>
      <w:jc w:val="center"/>
    </w:pPr>
    <w:rPr>
      <w:rFonts w:ascii="Times New Roman" w:hAnsi="Times New Roman" w:eastAsia="宋体" w:cs="Times New Roman"/>
      <w:kern w:val="2"/>
      <w:sz w:val="28"/>
      <w:szCs w:val="24"/>
      <w:lang w:val="en-US" w:eastAsia="zh-CN" w:bidi="ar-SA"/>
    </w:rPr>
  </w:style>
  <w:style w:type="character" w:customStyle="1" w:styleId="17">
    <w:name w:val="font31"/>
    <w:basedOn w:val="12"/>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11071</Words>
  <Characters>11170</Characters>
  <Lines>0</Lines>
  <Paragraphs>0</Paragraphs>
  <TotalTime>20</TotalTime>
  <ScaleCrop>false</ScaleCrop>
  <LinksUpToDate>false</LinksUpToDate>
  <CharactersWithSpaces>11288</CharactersWithSpaces>
  <Application>WPS Office_12.8.2.17836_F1E327BC-269C-435d-A152-05C5408002CA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user</cp:lastModifiedBy>
  <cp:lastPrinted>2024-01-12T16:18:00Z</cp:lastPrinted>
  <dcterms:modified xsi:type="dcterms:W3CDTF">2025-10-10T10:09:40Z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2052-12.8.2.17836</vt:lpwstr>
  </property>
  <property fmtid="{D5CDD505-2E9C-101B-9397-08002B2CF9AE}" pid="3" name="ICV">
    <vt:lpwstr>DE42A0DCA359429381018C6B866937DA</vt:lpwstr>
  </property>
  <property fmtid="{D5CDD505-2E9C-101B-9397-08002B2CF9AE}" pid="4" name="KSOTemplateDocerSaveRecord">
    <vt:lpwstr>eyJoZGlkIjoiYzE4NmRmYzg4YmJhYjI4OWM1M2NmYWIxNDhiNTdkMmIiLCJ1c2VySWQiOiIzNjQ3OTU3NzEifQ==</vt:lpwstr>
  </property>
</Properties>
</file>